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223224"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223224" w:rsidRDefault="00547C44" w:rsidP="00DF6FE2">
            <w:pPr>
              <w:ind w:left="-108"/>
              <w:rPr>
                <w:rFonts w:ascii="Arial" w:hAnsi="Arial" w:cs="Arial"/>
                <w:color w:val="595959" w:themeColor="text1" w:themeTint="A6"/>
                <w:lang w:val="es-MX"/>
              </w:rPr>
            </w:pPr>
            <w:r w:rsidRPr="00223224">
              <w:rPr>
                <w:rFonts w:ascii="Arial" w:hAnsi="Arial" w:cs="Arial"/>
                <w:b/>
                <w:color w:val="595959" w:themeColor="text1" w:themeTint="A6"/>
                <w:lang w:val="es-MX"/>
              </w:rPr>
              <w:t xml:space="preserve">RECURSO DE REVISIÓN: </w:t>
            </w:r>
            <w:r w:rsidR="00570B93" w:rsidRPr="00223224">
              <w:rPr>
                <w:rFonts w:ascii="Arial" w:hAnsi="Arial" w:cs="Arial"/>
                <w:color w:val="595959" w:themeColor="text1" w:themeTint="A6"/>
                <w:lang w:val="es-MX"/>
              </w:rPr>
              <w:t>RR-</w:t>
            </w:r>
            <w:r w:rsidR="00745B68" w:rsidRPr="00223224">
              <w:rPr>
                <w:rFonts w:ascii="Arial" w:hAnsi="Arial" w:cs="Arial"/>
                <w:color w:val="595959" w:themeColor="text1" w:themeTint="A6"/>
                <w:lang w:val="es-MX"/>
              </w:rPr>
              <w:t>48</w:t>
            </w:r>
            <w:r w:rsidR="00D02FBD" w:rsidRPr="00223224">
              <w:rPr>
                <w:rFonts w:ascii="Arial" w:hAnsi="Arial" w:cs="Arial"/>
                <w:color w:val="595959" w:themeColor="text1" w:themeTint="A6"/>
                <w:lang w:val="es-MX"/>
              </w:rPr>
              <w:t>/2018</w:t>
            </w:r>
            <w:r w:rsidRPr="00223224">
              <w:rPr>
                <w:rFonts w:ascii="Arial" w:hAnsi="Arial" w:cs="Arial"/>
                <w:color w:val="595959" w:themeColor="text1" w:themeTint="A6"/>
                <w:lang w:val="es-MX"/>
              </w:rPr>
              <w:t>-3</w:t>
            </w:r>
          </w:p>
        </w:tc>
      </w:tr>
      <w:tr w:rsidR="00547C44" w:rsidRPr="00223224"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223224" w:rsidRDefault="00745B68" w:rsidP="00745B68">
            <w:pPr>
              <w:ind w:left="-108"/>
              <w:rPr>
                <w:rFonts w:ascii="Arial" w:hAnsi="Arial" w:cs="Arial"/>
                <w:color w:val="595959" w:themeColor="text1" w:themeTint="A6"/>
                <w:lang w:val="es-MX"/>
              </w:rPr>
            </w:pPr>
            <w:r w:rsidRPr="00223224">
              <w:rPr>
                <w:rFonts w:ascii="Arial" w:hAnsi="Arial" w:cs="Arial"/>
                <w:b/>
                <w:color w:val="595959" w:themeColor="text1" w:themeTint="A6"/>
                <w:lang w:val="es-MX"/>
              </w:rPr>
              <w:t>SUJETO</w:t>
            </w:r>
            <w:r w:rsidR="00547C44" w:rsidRPr="00223224">
              <w:rPr>
                <w:rFonts w:ascii="Arial" w:hAnsi="Arial" w:cs="Arial"/>
                <w:b/>
                <w:color w:val="595959" w:themeColor="text1" w:themeTint="A6"/>
                <w:lang w:val="es-MX"/>
              </w:rPr>
              <w:t xml:space="preserve"> OBLIGADO:</w:t>
            </w:r>
            <w:r w:rsidR="00547C44" w:rsidRPr="00223224">
              <w:rPr>
                <w:rFonts w:ascii="Arial" w:hAnsi="Arial" w:cs="Arial"/>
                <w:color w:val="595959" w:themeColor="text1" w:themeTint="A6"/>
                <w:lang w:val="es-MX"/>
              </w:rPr>
              <w:t xml:space="preserve"> </w:t>
            </w:r>
            <w:r w:rsidRPr="00223224">
              <w:rPr>
                <w:rFonts w:ascii="Arial" w:hAnsi="Arial" w:cs="Arial"/>
                <w:color w:val="595959" w:themeColor="text1" w:themeTint="A6"/>
                <w:lang w:val="es-MX"/>
              </w:rPr>
              <w:t>AYUNTAMIENTO DE SAN LUIS POTOSÍ</w:t>
            </w:r>
          </w:p>
        </w:tc>
      </w:tr>
      <w:tr w:rsidR="00547C44" w:rsidRPr="00223224"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223224" w:rsidRDefault="00547C44" w:rsidP="00C63190">
            <w:pPr>
              <w:ind w:left="-108"/>
              <w:rPr>
                <w:rFonts w:ascii="Arial" w:hAnsi="Arial" w:cs="Arial"/>
                <w:color w:val="595959" w:themeColor="text1" w:themeTint="A6"/>
                <w:lang w:val="es-MX"/>
              </w:rPr>
            </w:pPr>
            <w:r w:rsidRPr="00223224">
              <w:rPr>
                <w:rFonts w:ascii="Arial" w:hAnsi="Arial" w:cs="Arial"/>
                <w:b/>
                <w:color w:val="595959" w:themeColor="text1" w:themeTint="A6"/>
                <w:lang w:val="es-MX"/>
              </w:rPr>
              <w:t xml:space="preserve">COMISIONADO PONENTE: </w:t>
            </w:r>
            <w:r w:rsidRPr="00223224">
              <w:rPr>
                <w:rFonts w:ascii="Arial" w:hAnsi="Arial" w:cs="Arial"/>
                <w:color w:val="595959" w:themeColor="text1" w:themeTint="A6"/>
                <w:lang w:val="es-MX"/>
              </w:rPr>
              <w:t>CLAUDIA ELIZABETH ÁVALOS CEDILLO</w:t>
            </w:r>
          </w:p>
        </w:tc>
      </w:tr>
    </w:tbl>
    <w:p w:rsidR="00547C44" w:rsidRPr="00223224" w:rsidRDefault="00547C44" w:rsidP="00547C44">
      <w:pPr>
        <w:jc w:val="right"/>
        <w:rPr>
          <w:rFonts w:ascii="Arial" w:hAnsi="Arial" w:cs="Arial"/>
          <w:b/>
          <w:color w:val="595959" w:themeColor="text1" w:themeTint="A6"/>
          <w:lang w:val="es-MX"/>
        </w:rPr>
      </w:pPr>
    </w:p>
    <w:p w:rsidR="00990C27" w:rsidRPr="00223224" w:rsidRDefault="00547C44" w:rsidP="00990C27">
      <w:pPr>
        <w:pStyle w:val="Textoindependienteprimerasangra"/>
        <w:spacing w:after="0"/>
        <w:ind w:firstLine="0"/>
        <w:rPr>
          <w:rFonts w:ascii="Arial" w:eastAsia="Arial Unicode MS" w:hAnsi="Arial" w:cs="Arial"/>
          <w:color w:val="595959" w:themeColor="text1" w:themeTint="A6"/>
          <w:szCs w:val="26"/>
          <w:lang w:val="es-MX"/>
        </w:rPr>
      </w:pPr>
      <w:r w:rsidRPr="00223224">
        <w:rPr>
          <w:rFonts w:ascii="Arial" w:hAnsi="Arial" w:cs="Arial"/>
          <w:b/>
          <w:color w:val="595959" w:themeColor="text1" w:themeTint="A6"/>
          <w:lang w:val="es-MX"/>
        </w:rPr>
        <w:tab/>
      </w:r>
      <w:r w:rsidRPr="00223224">
        <w:rPr>
          <w:rFonts w:ascii="Arial" w:eastAsia="Arial Unicode MS" w:hAnsi="Arial" w:cs="Arial"/>
          <w:color w:val="595959" w:themeColor="text1" w:themeTint="A6"/>
          <w:szCs w:val="26"/>
          <w:lang w:val="es-MX"/>
        </w:rPr>
        <w:t xml:space="preserve">San Luis Potosí, San Luis Potosí, </w:t>
      </w:r>
      <w:r w:rsidR="00745B68" w:rsidRPr="00223224">
        <w:rPr>
          <w:rFonts w:ascii="Arial" w:eastAsia="Arial Unicode MS" w:hAnsi="Arial" w:cs="Arial"/>
          <w:color w:val="595959" w:themeColor="text1" w:themeTint="A6"/>
          <w:szCs w:val="26"/>
          <w:lang w:val="es-MX"/>
        </w:rPr>
        <w:t>siete</w:t>
      </w:r>
      <w:r w:rsidR="00D02FBD" w:rsidRPr="00223224">
        <w:rPr>
          <w:rFonts w:ascii="Arial" w:eastAsia="Arial Unicode MS" w:hAnsi="Arial" w:cs="Arial"/>
          <w:color w:val="595959" w:themeColor="text1" w:themeTint="A6"/>
          <w:szCs w:val="26"/>
          <w:lang w:val="es-MX"/>
        </w:rPr>
        <w:t xml:space="preserve"> de </w:t>
      </w:r>
      <w:r w:rsidR="00223224" w:rsidRPr="00223224">
        <w:rPr>
          <w:rFonts w:ascii="Arial" w:eastAsia="Arial Unicode MS" w:hAnsi="Arial" w:cs="Arial"/>
          <w:color w:val="595959" w:themeColor="text1" w:themeTint="A6"/>
          <w:szCs w:val="26"/>
          <w:lang w:val="es-MX"/>
        </w:rPr>
        <w:t>marzo</w:t>
      </w:r>
      <w:r w:rsidR="0089357B" w:rsidRPr="00223224">
        <w:rPr>
          <w:rFonts w:ascii="Arial" w:eastAsia="Arial Unicode MS" w:hAnsi="Arial" w:cs="Arial"/>
          <w:color w:val="595959" w:themeColor="text1" w:themeTint="A6"/>
          <w:szCs w:val="26"/>
          <w:lang w:val="es-MX"/>
        </w:rPr>
        <w:t xml:space="preserve"> de dos mil dieciocho</w:t>
      </w:r>
      <w:r w:rsidRPr="00223224">
        <w:rPr>
          <w:rFonts w:ascii="Arial" w:eastAsia="Arial Unicode MS" w:hAnsi="Arial" w:cs="Arial"/>
          <w:color w:val="595959" w:themeColor="text1" w:themeTint="A6"/>
          <w:szCs w:val="26"/>
          <w:lang w:val="es-MX"/>
        </w:rPr>
        <w:t>.</w:t>
      </w:r>
    </w:p>
    <w:p w:rsidR="00547C44" w:rsidRPr="00223224" w:rsidRDefault="00990C27" w:rsidP="00990C27">
      <w:pPr>
        <w:pStyle w:val="Textoindependienteprimerasangra"/>
        <w:spacing w:before="240" w:after="0"/>
        <w:ind w:firstLine="0"/>
        <w:rPr>
          <w:rFonts w:ascii="Arial" w:eastAsia="Arial Unicode MS" w:hAnsi="Arial" w:cs="Arial"/>
          <w:color w:val="595959" w:themeColor="text1" w:themeTint="A6"/>
          <w:szCs w:val="26"/>
          <w:lang w:val="es-MX"/>
        </w:rPr>
      </w:pPr>
      <w:r w:rsidRPr="00223224">
        <w:rPr>
          <w:rFonts w:ascii="Arial" w:eastAsia="Arial Unicode MS" w:hAnsi="Arial" w:cs="Arial"/>
          <w:color w:val="595959" w:themeColor="text1" w:themeTint="A6"/>
          <w:szCs w:val="26"/>
          <w:lang w:val="es-MX"/>
        </w:rPr>
        <w:tab/>
      </w:r>
      <w:r w:rsidR="00BB5A3B" w:rsidRPr="00223224">
        <w:rPr>
          <w:rFonts w:ascii="Arial" w:eastAsia="Arial Unicode MS" w:hAnsi="Arial" w:cs="Arial"/>
          <w:b/>
          <w:color w:val="595959" w:themeColor="text1" w:themeTint="A6"/>
          <w:szCs w:val="26"/>
          <w:lang w:val="es-MX"/>
        </w:rPr>
        <w:t>VIST</w:t>
      </w:r>
      <w:r w:rsidR="00547C44" w:rsidRPr="00223224">
        <w:rPr>
          <w:rFonts w:ascii="Arial" w:eastAsia="Arial Unicode MS" w:hAnsi="Arial" w:cs="Arial"/>
          <w:b/>
          <w:color w:val="595959" w:themeColor="text1" w:themeTint="A6"/>
          <w:szCs w:val="26"/>
          <w:lang w:val="es-MX"/>
        </w:rPr>
        <w:t>O</w:t>
      </w:r>
      <w:r w:rsidR="00BB5A3B" w:rsidRPr="00223224">
        <w:rPr>
          <w:rFonts w:ascii="Arial" w:eastAsia="Arial Unicode MS" w:hAnsi="Arial" w:cs="Arial"/>
          <w:b/>
          <w:color w:val="595959" w:themeColor="text1" w:themeTint="A6"/>
          <w:szCs w:val="26"/>
          <w:lang w:val="es-MX"/>
        </w:rPr>
        <w:t>S</w:t>
      </w:r>
      <w:r w:rsidR="00547C44" w:rsidRPr="00223224">
        <w:rPr>
          <w:rFonts w:ascii="Arial" w:eastAsia="Arial Unicode MS" w:hAnsi="Arial" w:cs="Arial"/>
          <w:color w:val="595959" w:themeColor="text1" w:themeTint="A6"/>
          <w:szCs w:val="26"/>
          <w:lang w:val="es-MX"/>
        </w:rPr>
        <w:t xml:space="preserve"> para resolver los autos que conforman el expediente </w:t>
      </w:r>
      <w:r w:rsidR="00745B68" w:rsidRPr="00223224">
        <w:rPr>
          <w:rFonts w:ascii="Arial" w:hAnsi="Arial" w:cs="Arial"/>
          <w:b/>
          <w:color w:val="595959" w:themeColor="text1" w:themeTint="A6"/>
          <w:lang w:val="es-MX"/>
        </w:rPr>
        <w:t>048</w:t>
      </w:r>
      <w:r w:rsidR="00547C44" w:rsidRPr="00223224">
        <w:rPr>
          <w:rFonts w:ascii="Arial" w:hAnsi="Arial" w:cs="Arial"/>
          <w:b/>
          <w:color w:val="595959" w:themeColor="text1" w:themeTint="A6"/>
          <w:lang w:val="es-MX"/>
        </w:rPr>
        <w:t>/201</w:t>
      </w:r>
      <w:r w:rsidR="00D02FBD" w:rsidRPr="00223224">
        <w:rPr>
          <w:rFonts w:ascii="Arial" w:hAnsi="Arial" w:cs="Arial"/>
          <w:b/>
          <w:color w:val="595959" w:themeColor="text1" w:themeTint="A6"/>
          <w:lang w:val="es-MX"/>
        </w:rPr>
        <w:t>8</w:t>
      </w:r>
      <w:r w:rsidR="00547C44" w:rsidRPr="00223224">
        <w:rPr>
          <w:rFonts w:ascii="Arial" w:hAnsi="Arial" w:cs="Arial"/>
          <w:b/>
          <w:color w:val="595959" w:themeColor="text1" w:themeTint="A6"/>
          <w:lang w:val="es-MX"/>
        </w:rPr>
        <w:t xml:space="preserve">-3 </w:t>
      </w:r>
      <w:r w:rsidR="00547C44" w:rsidRPr="00223224">
        <w:rPr>
          <w:rFonts w:ascii="Arial" w:eastAsia="Arial Unicode MS" w:hAnsi="Arial" w:cs="Arial"/>
          <w:color w:val="595959" w:themeColor="text1" w:themeTint="A6"/>
          <w:szCs w:val="26"/>
          <w:lang w:val="es-MX"/>
        </w:rPr>
        <w:t xml:space="preserve">del índice de esta comisión, relativo al </w:t>
      </w:r>
      <w:r w:rsidR="00547C44" w:rsidRPr="00223224">
        <w:rPr>
          <w:rFonts w:ascii="Arial" w:eastAsia="Arial Unicode MS" w:hAnsi="Arial" w:cs="Arial"/>
          <w:b/>
          <w:color w:val="595959" w:themeColor="text1" w:themeTint="A6"/>
          <w:szCs w:val="26"/>
          <w:lang w:val="es-MX"/>
        </w:rPr>
        <w:t>recurso de revisión</w:t>
      </w:r>
      <w:r w:rsidR="00547C44" w:rsidRPr="00223224">
        <w:rPr>
          <w:rFonts w:ascii="Arial" w:eastAsia="Arial Unicode MS" w:hAnsi="Arial" w:cs="Arial"/>
          <w:color w:val="595959" w:themeColor="text1" w:themeTint="A6"/>
          <w:szCs w:val="26"/>
          <w:lang w:val="es-MX"/>
        </w:rPr>
        <w:t>, interpuesto co</w:t>
      </w:r>
      <w:r w:rsidR="00F37CF8" w:rsidRPr="00223224">
        <w:rPr>
          <w:rFonts w:ascii="Arial" w:eastAsia="Arial Unicode MS" w:hAnsi="Arial" w:cs="Arial"/>
          <w:color w:val="595959" w:themeColor="text1" w:themeTint="A6"/>
          <w:szCs w:val="26"/>
          <w:lang w:val="es-MX"/>
        </w:rPr>
        <w:t>ntra el</w:t>
      </w:r>
      <w:r w:rsidR="00547C44" w:rsidRPr="00223224">
        <w:rPr>
          <w:rFonts w:ascii="Arial" w:eastAsia="Arial Unicode MS" w:hAnsi="Arial" w:cs="Arial"/>
          <w:color w:val="595959" w:themeColor="text1" w:themeTint="A6"/>
          <w:szCs w:val="26"/>
          <w:lang w:val="es-MX"/>
        </w:rPr>
        <w:t xml:space="preserve"> </w:t>
      </w:r>
      <w:r w:rsidR="00745B68" w:rsidRPr="00223224">
        <w:rPr>
          <w:rFonts w:ascii="Arial" w:eastAsia="Arial Unicode MS" w:hAnsi="Arial" w:cs="Arial"/>
          <w:b/>
          <w:color w:val="595959" w:themeColor="text1" w:themeTint="A6"/>
          <w:szCs w:val="26"/>
          <w:lang w:val="es-MX"/>
        </w:rPr>
        <w:t>AYUTAMIENTO DE SAN LUIS POTOSÍ</w:t>
      </w:r>
      <w:r w:rsidR="00547C44" w:rsidRPr="00223224">
        <w:rPr>
          <w:rFonts w:ascii="Arial" w:eastAsia="Arial Unicode MS" w:hAnsi="Arial" w:cs="Arial"/>
          <w:b/>
          <w:color w:val="595959" w:themeColor="text1" w:themeTint="A6"/>
          <w:szCs w:val="26"/>
          <w:lang w:val="es-MX"/>
        </w:rPr>
        <w:t xml:space="preserve">, </w:t>
      </w:r>
      <w:r w:rsidR="00547C44" w:rsidRPr="00223224">
        <w:rPr>
          <w:rFonts w:ascii="Arial" w:eastAsia="Arial Unicode MS" w:hAnsi="Arial" w:cs="Arial"/>
          <w:color w:val="595959" w:themeColor="text1" w:themeTint="A6"/>
          <w:szCs w:val="26"/>
          <w:lang w:val="es-MX"/>
        </w:rPr>
        <w:t>y</w:t>
      </w:r>
    </w:p>
    <w:p w:rsidR="00990C27" w:rsidRPr="00223224" w:rsidRDefault="00547C44" w:rsidP="00990C27">
      <w:pPr>
        <w:pStyle w:val="Textoindependienteprimerasangra"/>
        <w:spacing w:before="240"/>
        <w:ind w:firstLine="900"/>
        <w:jc w:val="center"/>
        <w:rPr>
          <w:rFonts w:ascii="Arial" w:eastAsia="Arial Unicode MS" w:hAnsi="Arial" w:cs="Arial"/>
          <w:b/>
          <w:color w:val="595959" w:themeColor="text1" w:themeTint="A6"/>
          <w:szCs w:val="26"/>
          <w:lang w:val="es-MX"/>
        </w:rPr>
      </w:pPr>
      <w:r w:rsidRPr="00223224">
        <w:rPr>
          <w:rFonts w:ascii="Arial" w:eastAsia="Arial Unicode MS" w:hAnsi="Arial" w:cs="Arial"/>
          <w:b/>
          <w:color w:val="595959" w:themeColor="text1" w:themeTint="A6"/>
          <w:szCs w:val="26"/>
          <w:lang w:val="es-MX"/>
        </w:rPr>
        <w:t>A N T E C E D E N T E S:</w:t>
      </w:r>
    </w:p>
    <w:p w:rsidR="00547C44" w:rsidRPr="00223224" w:rsidRDefault="00990C27" w:rsidP="00990C27">
      <w:pPr>
        <w:pStyle w:val="Textoindependienteprimerasangra"/>
        <w:spacing w:before="240"/>
        <w:ind w:firstLine="0"/>
        <w:rPr>
          <w:rFonts w:ascii="Arial" w:eastAsia="Arial Unicode MS" w:hAnsi="Arial" w:cs="Arial"/>
          <w:b/>
          <w:color w:val="595959" w:themeColor="text1" w:themeTint="A6"/>
          <w:szCs w:val="26"/>
          <w:lang w:val="es-MX"/>
        </w:rPr>
      </w:pPr>
      <w:r w:rsidRPr="00223224">
        <w:rPr>
          <w:rFonts w:ascii="Arial" w:eastAsia="Arial Unicode MS" w:hAnsi="Arial" w:cs="Arial"/>
          <w:b/>
          <w:color w:val="595959" w:themeColor="text1" w:themeTint="A6"/>
          <w:szCs w:val="26"/>
          <w:lang w:val="es-MX"/>
        </w:rPr>
        <w:tab/>
      </w:r>
      <w:r w:rsidR="00547C44" w:rsidRPr="00223224">
        <w:rPr>
          <w:rFonts w:ascii="Arial" w:eastAsia="Arial Unicode MS" w:hAnsi="Arial" w:cs="Arial"/>
          <w:b/>
          <w:color w:val="595959" w:themeColor="text1" w:themeTint="A6"/>
          <w:szCs w:val="26"/>
          <w:lang w:val="es-MX"/>
        </w:rPr>
        <w:t xml:space="preserve">PRIMERO. Solicitud de Información. </w:t>
      </w:r>
      <w:r w:rsidR="00DF6FE2" w:rsidRPr="00223224">
        <w:rPr>
          <w:rFonts w:ascii="Arial" w:eastAsia="Arial Unicode MS" w:hAnsi="Arial" w:cs="Arial"/>
          <w:b/>
          <w:color w:val="595959" w:themeColor="text1" w:themeTint="A6"/>
          <w:szCs w:val="26"/>
          <w:lang w:val="es-MX"/>
        </w:rPr>
        <w:t xml:space="preserve">El </w:t>
      </w:r>
      <w:r w:rsidR="003679A3" w:rsidRPr="00223224">
        <w:rPr>
          <w:rFonts w:ascii="Arial" w:eastAsia="Arial Unicode MS" w:hAnsi="Arial" w:cs="Arial"/>
          <w:b/>
          <w:color w:val="595959" w:themeColor="text1" w:themeTint="A6"/>
          <w:szCs w:val="26"/>
          <w:lang w:val="es-MX"/>
        </w:rPr>
        <w:t>cinco</w:t>
      </w:r>
      <w:r w:rsidR="00DB3454" w:rsidRPr="00223224">
        <w:rPr>
          <w:rFonts w:ascii="Arial" w:eastAsia="Arial Unicode MS" w:hAnsi="Arial" w:cs="Arial"/>
          <w:b/>
          <w:color w:val="595959" w:themeColor="text1" w:themeTint="A6"/>
          <w:szCs w:val="26"/>
          <w:lang w:val="es-MX"/>
        </w:rPr>
        <w:t xml:space="preserve"> de enero de dos mil dieciocho</w:t>
      </w:r>
      <w:r w:rsidR="00547C44" w:rsidRPr="00223224">
        <w:rPr>
          <w:rFonts w:ascii="Arial" w:eastAsia="Arial Unicode MS" w:hAnsi="Arial" w:cs="Arial"/>
          <w:color w:val="595959" w:themeColor="text1" w:themeTint="A6"/>
          <w:szCs w:val="26"/>
          <w:lang w:val="es-MX"/>
        </w:rPr>
        <w:t xml:space="preserve">, </w:t>
      </w:r>
      <w:r w:rsidR="0065301A" w:rsidRPr="00223224">
        <w:rPr>
          <w:rFonts w:ascii="Arial" w:hAnsi="Arial" w:cs="Arial"/>
          <w:color w:val="595959" w:themeColor="text1" w:themeTint="A6"/>
          <w:lang w:val="es-MX"/>
        </w:rPr>
        <w:t>se</w:t>
      </w:r>
      <w:r w:rsidR="00746974" w:rsidRPr="00223224">
        <w:rPr>
          <w:rFonts w:ascii="Arial" w:eastAsia="Arial Unicode MS" w:hAnsi="Arial" w:cs="Arial"/>
          <w:color w:val="595959" w:themeColor="text1" w:themeTint="A6"/>
          <w:szCs w:val="26"/>
          <w:lang w:val="es-MX"/>
        </w:rPr>
        <w:t xml:space="preserve"> </w:t>
      </w:r>
      <w:r w:rsidR="0065301A" w:rsidRPr="00223224">
        <w:rPr>
          <w:rFonts w:ascii="Arial" w:eastAsia="Arial Unicode MS" w:hAnsi="Arial" w:cs="Arial"/>
          <w:color w:val="595959" w:themeColor="text1" w:themeTint="A6"/>
          <w:szCs w:val="26"/>
          <w:lang w:val="es-MX"/>
        </w:rPr>
        <w:t>presentó</w:t>
      </w:r>
      <w:r w:rsidR="00570B93" w:rsidRPr="00223224">
        <w:rPr>
          <w:rFonts w:ascii="Arial" w:eastAsia="Arial Unicode MS" w:hAnsi="Arial" w:cs="Arial"/>
          <w:color w:val="595959" w:themeColor="text1" w:themeTint="A6"/>
          <w:szCs w:val="26"/>
          <w:lang w:val="es-MX"/>
        </w:rPr>
        <w:t>, a través de la Plataforma Nacional de Transparencia,</w:t>
      </w:r>
      <w:r w:rsidR="00C63190" w:rsidRPr="00223224">
        <w:rPr>
          <w:rFonts w:ascii="Arial" w:eastAsia="Arial Unicode MS" w:hAnsi="Arial" w:cs="Arial"/>
          <w:color w:val="595959" w:themeColor="text1" w:themeTint="A6"/>
          <w:szCs w:val="26"/>
          <w:lang w:val="es-MX"/>
        </w:rPr>
        <w:t xml:space="preserve"> una solicitud de información a</w:t>
      </w:r>
      <w:r w:rsidR="00DC51FF" w:rsidRPr="00223224">
        <w:rPr>
          <w:rFonts w:ascii="Arial" w:eastAsia="Arial Unicode MS" w:hAnsi="Arial" w:cs="Arial"/>
          <w:color w:val="595959" w:themeColor="text1" w:themeTint="A6"/>
          <w:szCs w:val="26"/>
          <w:lang w:val="es-MX"/>
        </w:rPr>
        <w:t>l</w:t>
      </w:r>
      <w:r w:rsidR="00547C44" w:rsidRPr="00223224">
        <w:rPr>
          <w:rFonts w:ascii="Arial" w:eastAsia="Arial Unicode MS" w:hAnsi="Arial" w:cs="Arial"/>
          <w:color w:val="595959" w:themeColor="text1" w:themeTint="A6"/>
          <w:szCs w:val="26"/>
          <w:lang w:val="es-MX"/>
        </w:rPr>
        <w:t xml:space="preserve"> </w:t>
      </w:r>
      <w:r w:rsidR="003679A3" w:rsidRPr="00223224">
        <w:rPr>
          <w:rFonts w:ascii="Arial" w:eastAsia="Arial Unicode MS" w:hAnsi="Arial" w:cs="Arial"/>
          <w:b/>
          <w:color w:val="595959" w:themeColor="text1" w:themeTint="A6"/>
          <w:szCs w:val="26"/>
          <w:lang w:val="es-MX"/>
        </w:rPr>
        <w:t>AYUNTAMIENTO DE SAN LUIS POTOSÍ</w:t>
      </w:r>
      <w:r w:rsidR="00746974" w:rsidRPr="00223224">
        <w:rPr>
          <w:rFonts w:ascii="Arial" w:eastAsia="Arial Unicode MS" w:hAnsi="Arial" w:cs="Arial"/>
          <w:b/>
          <w:color w:val="595959" w:themeColor="text1" w:themeTint="A6"/>
          <w:szCs w:val="26"/>
          <w:lang w:val="es-MX"/>
        </w:rPr>
        <w:t>,</w:t>
      </w:r>
      <w:r w:rsidR="00547C44" w:rsidRPr="00223224">
        <w:rPr>
          <w:rFonts w:ascii="Arial" w:eastAsia="Arial Unicode MS" w:hAnsi="Arial" w:cs="Arial"/>
          <w:b/>
          <w:color w:val="595959" w:themeColor="text1" w:themeTint="A6"/>
          <w:szCs w:val="26"/>
          <w:lang w:val="es-MX"/>
        </w:rPr>
        <w:t xml:space="preserve"> </w:t>
      </w:r>
      <w:r w:rsidR="00570B93" w:rsidRPr="00223224">
        <w:rPr>
          <w:rFonts w:ascii="Arial" w:eastAsia="Arial Unicode MS" w:hAnsi="Arial" w:cs="Arial"/>
          <w:color w:val="595959" w:themeColor="text1" w:themeTint="A6"/>
          <w:szCs w:val="26"/>
          <w:lang w:val="es-MX"/>
        </w:rPr>
        <w:t>misma que se registró bajo el folio 00</w:t>
      </w:r>
      <w:r w:rsidR="003679A3" w:rsidRPr="00223224">
        <w:rPr>
          <w:rFonts w:ascii="Arial" w:eastAsia="Arial Unicode MS" w:hAnsi="Arial" w:cs="Arial"/>
          <w:color w:val="595959" w:themeColor="text1" w:themeTint="A6"/>
          <w:szCs w:val="26"/>
          <w:lang w:val="es-MX"/>
        </w:rPr>
        <w:t>0031</w:t>
      </w:r>
      <w:r w:rsidR="00570B93" w:rsidRPr="00223224">
        <w:rPr>
          <w:rFonts w:ascii="Arial" w:eastAsia="Arial Unicode MS" w:hAnsi="Arial" w:cs="Arial"/>
          <w:color w:val="595959" w:themeColor="text1" w:themeTint="A6"/>
          <w:szCs w:val="26"/>
          <w:lang w:val="es-MX"/>
        </w:rPr>
        <w:t>1</w:t>
      </w:r>
      <w:r w:rsidR="00DB3454" w:rsidRPr="00223224">
        <w:rPr>
          <w:rFonts w:ascii="Arial" w:eastAsia="Arial Unicode MS" w:hAnsi="Arial" w:cs="Arial"/>
          <w:color w:val="595959" w:themeColor="text1" w:themeTint="A6"/>
          <w:szCs w:val="26"/>
          <w:lang w:val="es-MX"/>
        </w:rPr>
        <w:t>8</w:t>
      </w:r>
      <w:r w:rsidR="00570B93" w:rsidRPr="00223224">
        <w:rPr>
          <w:rFonts w:ascii="Arial" w:eastAsia="Arial Unicode MS" w:hAnsi="Arial" w:cs="Arial"/>
          <w:color w:val="595959" w:themeColor="text1" w:themeTint="A6"/>
          <w:szCs w:val="26"/>
          <w:lang w:val="es-MX"/>
        </w:rPr>
        <w:t xml:space="preserve">, y </w:t>
      </w:r>
      <w:r w:rsidR="00547C44" w:rsidRPr="00223224">
        <w:rPr>
          <w:rFonts w:ascii="Arial" w:eastAsia="Arial Unicode MS" w:hAnsi="Arial" w:cs="Arial"/>
          <w:color w:val="595959" w:themeColor="text1" w:themeTint="A6"/>
          <w:szCs w:val="26"/>
          <w:lang w:val="es-MX"/>
        </w:rPr>
        <w:t>consistió la petición del solicitante en lo siguiente:</w:t>
      </w:r>
      <w:r w:rsidR="00547C44" w:rsidRPr="00223224">
        <w:rPr>
          <w:rFonts w:ascii="Arial" w:eastAsia="Arial Unicode MS" w:hAnsi="Arial" w:cs="Arial"/>
          <w:b/>
          <w:color w:val="595959" w:themeColor="text1" w:themeTint="A6"/>
          <w:szCs w:val="26"/>
          <w:lang w:val="es-MX"/>
        </w:rPr>
        <w:t xml:space="preserve"> </w:t>
      </w:r>
    </w:p>
    <w:p w:rsidR="003679A3" w:rsidRPr="00223224" w:rsidRDefault="00C01D46" w:rsidP="003679A3">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223224">
        <w:rPr>
          <w:rFonts w:ascii="Arial" w:eastAsia="Arial Unicode MS" w:hAnsi="Arial" w:cs="Arial"/>
          <w:i/>
          <w:color w:val="595959" w:themeColor="text1" w:themeTint="A6"/>
          <w:sz w:val="22"/>
          <w:szCs w:val="22"/>
          <w:lang w:val="es-MX"/>
        </w:rPr>
        <w:t>“</w:t>
      </w:r>
      <w:r w:rsidR="003679A3" w:rsidRPr="00223224">
        <w:rPr>
          <w:rFonts w:ascii="Arial" w:eastAsia="Arial Unicode MS" w:hAnsi="Arial" w:cs="Arial"/>
          <w:i/>
          <w:color w:val="595959" w:themeColor="text1" w:themeTint="A6"/>
          <w:sz w:val="22"/>
          <w:szCs w:val="22"/>
          <w:lang w:val="es-MX"/>
        </w:rPr>
        <w:t>TODA LA INFORMACION RELACIONADA CON LA CONSTRUCCION DEL FRACCIONAMIENTO VILLA FONTANA UBICADO EN EL NORTE DE LA CIUDAD DE SAN LUIS POTOSI EN LAS INMEDIACIONES DE LA COLONIA TERCERA CHICA, LA INFORMACION QUE SE SOLICITA ES DESDE EL TRASLADO DE DOMINIO DEL FRACCIONAMIENTO, PERMISOS DE CONSTRUCCCION, ENTREGA/RECEPCION DEL FRACCIONAMIENTO, MUNICIPALIZACION DEL FRACCIONAMIENTO.</w:t>
      </w:r>
    </w:p>
    <w:p w:rsidR="003679A3" w:rsidRPr="00223224" w:rsidRDefault="003679A3" w:rsidP="003679A3">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223224">
        <w:rPr>
          <w:rFonts w:ascii="Arial" w:eastAsia="Arial Unicode MS" w:hAnsi="Arial" w:cs="Arial"/>
          <w:i/>
          <w:color w:val="595959" w:themeColor="text1" w:themeTint="A6"/>
          <w:sz w:val="22"/>
          <w:szCs w:val="22"/>
          <w:lang w:val="es-MX"/>
        </w:rPr>
        <w:t>EN CONCRETO TODA LA INFORMACION DE SU CONSTRUCCION, PERMISOS Y ACTAS DE ENTREGA DEL FRACCIONAMIENTO, ASI COMO LOS NOMBRES DE LAS CALLES QUE COMPONEN ESTE FRACCIONAMIENTO Y LOS PERMISOS QUE LO AUTORIZAN.</w:t>
      </w:r>
    </w:p>
    <w:p w:rsidR="003679A3" w:rsidRPr="00223224" w:rsidRDefault="003679A3" w:rsidP="003679A3">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223224">
        <w:rPr>
          <w:rFonts w:ascii="Arial" w:eastAsia="Arial Unicode MS" w:hAnsi="Arial" w:cs="Arial"/>
          <w:i/>
          <w:color w:val="595959" w:themeColor="text1" w:themeTint="A6"/>
          <w:sz w:val="22"/>
          <w:szCs w:val="22"/>
          <w:lang w:val="es-MX"/>
        </w:rPr>
        <w:t>ADEMAS SE SOLICITA EL ACTA DE INAGURACION DEL FRACCIONAMIENTO QUE REALIZO EL PRESIDENTE MUNICIPAL, EL C. MARIO GARCIA EN SU PERIODO DE PRESIDENTE MUNICIPAL DEL 2012-2015.</w:t>
      </w:r>
    </w:p>
    <w:p w:rsidR="003679A3" w:rsidRPr="00223224" w:rsidRDefault="003679A3" w:rsidP="003679A3">
      <w:pPr>
        <w:pStyle w:val="Textoindependienteprimerasangra"/>
        <w:spacing w:after="0" w:line="240" w:lineRule="auto"/>
        <w:ind w:left="851" w:firstLine="900"/>
        <w:rPr>
          <w:rFonts w:ascii="Arial" w:hAnsi="Arial" w:cs="Arial"/>
          <w:color w:val="595959" w:themeColor="text1" w:themeTint="A6"/>
          <w:sz w:val="22"/>
          <w:szCs w:val="22"/>
        </w:rPr>
      </w:pPr>
      <w:r w:rsidRPr="00223224">
        <w:rPr>
          <w:rFonts w:ascii="Arial" w:eastAsia="Arial Unicode MS" w:hAnsi="Arial" w:cs="Arial"/>
          <w:i/>
          <w:color w:val="595959" w:themeColor="text1" w:themeTint="A6"/>
          <w:sz w:val="22"/>
          <w:szCs w:val="22"/>
          <w:lang w:val="es-MX"/>
        </w:rPr>
        <w:t>TAMBIEN SE SOLICITAN LOS PERMISOS DE ALINEAMIENTO Y NUMEROS OFICIAL DEL PREDIO ORIGINAL DEL FRACCIONAMIENTO, ASI COMO DE TODOS LOS NUMEROS OTORGADOS DENTRO DEL MISMO</w:t>
      </w:r>
      <w:r w:rsidR="00A06DD6" w:rsidRPr="00223224">
        <w:rPr>
          <w:rFonts w:ascii="Arial" w:eastAsia="Arial Unicode MS" w:hAnsi="Arial" w:cs="Arial"/>
          <w:i/>
          <w:color w:val="595959" w:themeColor="text1" w:themeTint="A6"/>
          <w:sz w:val="22"/>
          <w:szCs w:val="22"/>
          <w:lang w:val="es-MX"/>
        </w:rPr>
        <w:t>”</w:t>
      </w:r>
      <w:r w:rsidR="004C0527" w:rsidRPr="00223224">
        <w:rPr>
          <w:rFonts w:ascii="Arial" w:eastAsia="Arial Unicode MS" w:hAnsi="Arial" w:cs="Arial"/>
          <w:i/>
          <w:color w:val="595959" w:themeColor="text1" w:themeTint="A6"/>
          <w:sz w:val="22"/>
          <w:szCs w:val="22"/>
          <w:lang w:val="es-MX"/>
        </w:rPr>
        <w:t>.</w:t>
      </w:r>
      <w:r w:rsidR="003C3862" w:rsidRPr="00223224">
        <w:rPr>
          <w:rFonts w:ascii="Arial" w:hAnsi="Arial" w:cs="Arial"/>
          <w:color w:val="595959" w:themeColor="text1" w:themeTint="A6"/>
          <w:sz w:val="22"/>
          <w:szCs w:val="22"/>
        </w:rPr>
        <w:tab/>
      </w:r>
    </w:p>
    <w:p w:rsidR="003679A3" w:rsidRPr="00223224" w:rsidRDefault="003679A3" w:rsidP="003679A3">
      <w:pPr>
        <w:pStyle w:val="Textoindependienteprimerasangra"/>
        <w:spacing w:after="0" w:line="240" w:lineRule="auto"/>
        <w:ind w:left="851" w:firstLine="900"/>
        <w:rPr>
          <w:rFonts w:ascii="Arial" w:hAnsi="Arial" w:cs="Arial"/>
          <w:color w:val="595959" w:themeColor="text1" w:themeTint="A6"/>
          <w:sz w:val="22"/>
          <w:szCs w:val="22"/>
        </w:rPr>
      </w:pPr>
    </w:p>
    <w:p w:rsidR="003679A3" w:rsidRPr="00223224" w:rsidRDefault="003679A3" w:rsidP="003679A3">
      <w:pPr>
        <w:pStyle w:val="Textoindependienteprimerasangra"/>
        <w:spacing w:after="0" w:line="240" w:lineRule="auto"/>
        <w:ind w:left="851" w:firstLine="900"/>
        <w:rPr>
          <w:rFonts w:ascii="Arial" w:hAnsi="Arial" w:cs="Arial"/>
          <w:color w:val="595959" w:themeColor="text1" w:themeTint="A6"/>
          <w:sz w:val="22"/>
          <w:szCs w:val="22"/>
        </w:rPr>
      </w:pPr>
    </w:p>
    <w:p w:rsidR="003679A3" w:rsidRPr="00223224" w:rsidRDefault="003679A3" w:rsidP="003679A3">
      <w:pPr>
        <w:spacing w:before="240"/>
        <w:ind w:firstLine="708"/>
        <w:rPr>
          <w:rFonts w:ascii="Arial" w:hAnsi="Arial" w:cs="Arial"/>
          <w:color w:val="595959" w:themeColor="text1" w:themeTint="A6"/>
        </w:rPr>
      </w:pPr>
      <w:r w:rsidRPr="00223224">
        <w:rPr>
          <w:rFonts w:ascii="Arial" w:eastAsia="Arial Unicode MS" w:hAnsi="Arial" w:cs="Arial"/>
          <w:b/>
          <w:color w:val="595959" w:themeColor="text1" w:themeTint="A6"/>
        </w:rPr>
        <w:lastRenderedPageBreak/>
        <w:t xml:space="preserve">SEGUNDO. </w:t>
      </w:r>
      <w:r w:rsidRPr="00223224">
        <w:rPr>
          <w:rFonts w:ascii="Arial" w:hAnsi="Arial" w:cs="Arial"/>
          <w:b/>
          <w:color w:val="595959" w:themeColor="text1" w:themeTint="A6"/>
        </w:rPr>
        <w:t xml:space="preserve">Respuesta del sujeto obligado. </w:t>
      </w:r>
      <w:r w:rsidRPr="00223224">
        <w:rPr>
          <w:rFonts w:ascii="Arial" w:hAnsi="Arial" w:cs="Arial"/>
          <w:color w:val="595959" w:themeColor="text1" w:themeTint="A6"/>
        </w:rPr>
        <w:t xml:space="preserve">El </w:t>
      </w:r>
      <w:r w:rsidRPr="00223224">
        <w:rPr>
          <w:rFonts w:ascii="Arial" w:hAnsi="Arial" w:cs="Arial"/>
          <w:b/>
          <w:color w:val="595959" w:themeColor="text1" w:themeTint="A6"/>
        </w:rPr>
        <w:t>veintidós de enero de dos mil dos mil dieciocho</w:t>
      </w:r>
      <w:r w:rsidRPr="00223224">
        <w:rPr>
          <w:rFonts w:ascii="Arial" w:hAnsi="Arial" w:cs="Arial"/>
          <w:color w:val="595959" w:themeColor="text1" w:themeTint="A6"/>
        </w:rPr>
        <w:t>, el sujeto obligado dio contestó al solicitante a través de la Plataforma, y expresó:</w:t>
      </w:r>
    </w:p>
    <w:p w:rsidR="003679A3" w:rsidRPr="00223224" w:rsidRDefault="003679A3" w:rsidP="003679A3">
      <w:pPr>
        <w:spacing w:before="240" w:line="240" w:lineRule="auto"/>
        <w:ind w:left="709" w:firstLine="708"/>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“En respuesta a su solicitud de información con número de folio 00003118  asignada por la Plataforma Nacional de Transparencia San Luis Potosí; al respecto me permito hacer de su conocimiento que toda vez que rebasa la capacidad de los caracteres  permitidos por dicho sistema, por lo que se solicita se descargue el archivo adjunto, en el que encontrará la respuesta a su solicitud.</w:t>
      </w:r>
    </w:p>
    <w:p w:rsidR="003679A3" w:rsidRPr="00223224" w:rsidRDefault="003679A3" w:rsidP="003679A3">
      <w:pPr>
        <w:shd w:val="clear" w:color="auto" w:fill="FFFFFF"/>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lang w:val="es-MX"/>
        </w:rPr>
        <w:t xml:space="preserve">En respuesta a su solicitud de información con número de folio </w:t>
      </w:r>
      <w:r w:rsidRPr="00223224">
        <w:rPr>
          <w:rFonts w:ascii="Arial" w:hAnsi="Arial" w:cs="Arial"/>
          <w:b/>
          <w:i/>
          <w:color w:val="595959" w:themeColor="text1" w:themeTint="A6"/>
          <w:sz w:val="22"/>
          <w:szCs w:val="22"/>
          <w:lang w:val="es-MX"/>
        </w:rPr>
        <w:t xml:space="preserve">00003118 </w:t>
      </w:r>
      <w:r w:rsidRPr="00223224">
        <w:rPr>
          <w:rFonts w:ascii="Arial" w:hAnsi="Arial" w:cs="Arial"/>
          <w:i/>
          <w:color w:val="595959" w:themeColor="text1" w:themeTint="A6"/>
          <w:sz w:val="22"/>
          <w:szCs w:val="22"/>
          <w:lang w:val="es-MX"/>
        </w:rPr>
        <w:t xml:space="preserve"> asignada por la Plataforma Nacional de Transparencia San Luis Potosí; al respecto me permito hacer de su conocimiento que luego de las gestiones realizadas por la Unidad de Transparencia del Municipio de San Luis Potosí, con fundamento en lo dispuesto por el artículo 54 fracciones I, II y IV y el artículo 153 de la Ley de Transparencia y Acceso a la Información Pública del Estado de San Luis Potosí,  se le informa que</w:t>
      </w:r>
      <w:r w:rsidRPr="00223224">
        <w:rPr>
          <w:rFonts w:ascii="Arial" w:hAnsi="Arial" w:cs="Arial"/>
          <w:i/>
          <w:color w:val="595959" w:themeColor="text1" w:themeTint="A6"/>
          <w:sz w:val="22"/>
          <w:szCs w:val="22"/>
        </w:rPr>
        <w:t xml:space="preserve"> la solicitud fue turnada para su atención a las Áreas de Gobierno Municipal competentes siendo en el presente caso la</w:t>
      </w:r>
      <w:r w:rsidRPr="00223224">
        <w:rPr>
          <w:rFonts w:ascii="Arial" w:hAnsi="Arial" w:cs="Arial"/>
          <w:b/>
          <w:i/>
          <w:color w:val="595959" w:themeColor="text1" w:themeTint="A6"/>
          <w:sz w:val="22"/>
          <w:szCs w:val="22"/>
        </w:rPr>
        <w:t xml:space="preserve"> Dirección de Catastro y Desarrollo Urbano y la Presidencia Municipal.</w:t>
      </w:r>
    </w:p>
    <w:p w:rsidR="003679A3" w:rsidRPr="00223224" w:rsidRDefault="003679A3" w:rsidP="003679A3">
      <w:pPr>
        <w:shd w:val="clear" w:color="auto" w:fill="FFFFFF"/>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Consecuencia de lo anterior, el área de Gobierno Municipal que resguarda la información requerida, da  respuesta en términos del:</w:t>
      </w:r>
    </w:p>
    <w:p w:rsidR="003679A3" w:rsidRPr="00223224" w:rsidRDefault="003679A3" w:rsidP="003679A3">
      <w:pPr>
        <w:pStyle w:val="NormalWeb"/>
        <w:shd w:val="clear" w:color="auto" w:fill="FFFFFF"/>
        <w:spacing w:before="0" w:beforeAutospacing="0" w:after="0" w:afterAutospacing="0"/>
        <w:ind w:left="709" w:firstLine="709"/>
        <w:jc w:val="both"/>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 xml:space="preserve">Oficio </w:t>
      </w:r>
      <w:r w:rsidRPr="00223224">
        <w:rPr>
          <w:rFonts w:ascii="Arial" w:hAnsi="Arial" w:cs="Arial"/>
          <w:b/>
          <w:i/>
          <w:color w:val="595959" w:themeColor="text1" w:themeTint="A6"/>
          <w:sz w:val="22"/>
          <w:szCs w:val="22"/>
        </w:rPr>
        <w:t>SP/05/2017</w:t>
      </w:r>
      <w:r w:rsidRPr="00223224">
        <w:rPr>
          <w:rFonts w:ascii="Arial" w:hAnsi="Arial" w:cs="Arial"/>
          <w:i/>
          <w:color w:val="595959" w:themeColor="text1" w:themeTint="A6"/>
          <w:sz w:val="22"/>
          <w:szCs w:val="22"/>
        </w:rPr>
        <w:t>,  recibido en fecha 09 (nueve) de enero de 2018 (dos mil dieciocho), signado por el Licenciado José Concepción Gallardo Martínez, Secretario Particular de la Presidencia Municipal quien en lo que interesa manifiesta:</w:t>
      </w:r>
    </w:p>
    <w:p w:rsidR="003679A3" w:rsidRPr="00223224" w:rsidRDefault="003679A3" w:rsidP="003679A3">
      <w:pPr>
        <w:spacing w:line="240" w:lineRule="auto"/>
        <w:ind w:left="709" w:firstLine="709"/>
        <w:rPr>
          <w:rFonts w:ascii="Arial" w:hAnsi="Arial" w:cs="Arial"/>
          <w:b/>
          <w:i/>
          <w:color w:val="595959" w:themeColor="text1" w:themeTint="A6"/>
          <w:sz w:val="22"/>
          <w:szCs w:val="22"/>
        </w:rPr>
      </w:pPr>
      <w:r w:rsidRPr="00223224">
        <w:rPr>
          <w:rFonts w:ascii="Arial" w:hAnsi="Arial" w:cs="Arial"/>
          <w:i/>
          <w:color w:val="595959" w:themeColor="text1" w:themeTint="A6"/>
          <w:sz w:val="22"/>
          <w:szCs w:val="22"/>
        </w:rPr>
        <w:t xml:space="preserve">En atención a su solicitud, recibida en esta Presidencia Municipal, con fecha 08 de enero del presente, con numero de oficio U.T. 0032/18 en el cual  solicita el </w:t>
      </w:r>
      <w:r w:rsidRPr="00223224">
        <w:rPr>
          <w:rFonts w:ascii="Arial" w:hAnsi="Arial" w:cs="Arial"/>
          <w:b/>
          <w:i/>
          <w:color w:val="595959" w:themeColor="text1" w:themeTint="A6"/>
          <w:sz w:val="22"/>
          <w:szCs w:val="22"/>
        </w:rPr>
        <w:t>C. MILTON TORRES</w:t>
      </w:r>
      <w:r w:rsidRPr="00223224">
        <w:rPr>
          <w:rFonts w:ascii="Arial" w:hAnsi="Arial" w:cs="Arial"/>
          <w:i/>
          <w:color w:val="595959" w:themeColor="text1" w:themeTint="A6"/>
          <w:sz w:val="22"/>
          <w:szCs w:val="22"/>
        </w:rPr>
        <w:t xml:space="preserve">, con numero de folio 00003118, información correspondiente respecto a: </w:t>
      </w:r>
      <w:r w:rsidRPr="00223224">
        <w:rPr>
          <w:rFonts w:ascii="Arial" w:hAnsi="Arial" w:cs="Arial"/>
          <w:b/>
          <w:i/>
          <w:color w:val="595959" w:themeColor="text1" w:themeTint="A6"/>
          <w:sz w:val="22"/>
          <w:szCs w:val="22"/>
        </w:rPr>
        <w:t>“TODA LA INFORMACIÓN RELACIONADA CON LA CONSTRUCCIÓN DEL FRACCIONAMIENTO VILLA FONTANA UBICADO EN EL NORTE DE LA CIUDAD DE SAN LUIS POTOSÍ EN LAS INMEDIACIONES DE LA COLONIA TERCERA CHICA, LA INFORMACIÓN QUE SE SOLICITA ES DESDE EL TRASLADO DE DOMINIO DEL FRACCIONAMIENTO, PERMISOS DE CONSTRUCCIÓN, ENTREGA/RECEPCIÓN DEL FRACCIONAMIENTO, MUNICIPALIZACIÓN DEL FRACCIONAMIENTO.</w:t>
      </w:r>
    </w:p>
    <w:p w:rsidR="003679A3" w:rsidRPr="00223224" w:rsidRDefault="003679A3" w:rsidP="003679A3">
      <w:pPr>
        <w:spacing w:line="240" w:lineRule="auto"/>
        <w:ind w:left="709" w:firstLine="709"/>
        <w:rPr>
          <w:rFonts w:ascii="Arial" w:hAnsi="Arial" w:cs="Arial"/>
          <w:b/>
          <w:i/>
          <w:color w:val="595959" w:themeColor="text1" w:themeTint="A6"/>
          <w:sz w:val="22"/>
          <w:szCs w:val="22"/>
        </w:rPr>
      </w:pPr>
      <w:r w:rsidRPr="00223224">
        <w:rPr>
          <w:rFonts w:ascii="Arial" w:hAnsi="Arial" w:cs="Arial"/>
          <w:b/>
          <w:i/>
          <w:color w:val="595959" w:themeColor="text1" w:themeTint="A6"/>
          <w:sz w:val="22"/>
          <w:szCs w:val="22"/>
        </w:rPr>
        <w:t>EN CONCRETO TODA LA INFORMACIÓN DE SU CONSTRUCCIÓN, PERMISOS Y ACTAS DE ENTREGA DEL FRACCIONAMIENTO, ASÍ COMO LOS NOMBRES DE LAS CALLES QUE COMPONEN ESTE FRACCIONAMIENTO Y LOS PERMISOS QUE LO AUTORIZAN.</w:t>
      </w:r>
    </w:p>
    <w:p w:rsidR="003679A3" w:rsidRPr="00223224" w:rsidRDefault="003679A3" w:rsidP="003679A3">
      <w:pPr>
        <w:spacing w:line="240" w:lineRule="auto"/>
        <w:ind w:left="709" w:firstLine="709"/>
        <w:rPr>
          <w:rFonts w:ascii="Arial" w:hAnsi="Arial" w:cs="Arial"/>
          <w:b/>
          <w:i/>
          <w:color w:val="595959" w:themeColor="text1" w:themeTint="A6"/>
          <w:sz w:val="22"/>
          <w:szCs w:val="22"/>
        </w:rPr>
      </w:pPr>
      <w:r w:rsidRPr="00223224">
        <w:rPr>
          <w:rFonts w:ascii="Arial" w:hAnsi="Arial" w:cs="Arial"/>
          <w:b/>
          <w:i/>
          <w:color w:val="595959" w:themeColor="text1" w:themeTint="A6"/>
          <w:sz w:val="22"/>
          <w:szCs w:val="22"/>
        </w:rPr>
        <w:t>ADEMÁS SE SOLICITA EL ACTA DE INAUGURACIÓN DEL FRACCIONAMIENTO QUE REALIZO EL PRESIDENTE MUNICIPAL, EL C. MARIO GARCÍA  EN SU PERIODO DE PRESIDENTE MUNICIPAL DEL 2012-2015.</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b/>
          <w:i/>
          <w:color w:val="595959" w:themeColor="text1" w:themeTint="A6"/>
          <w:sz w:val="22"/>
          <w:szCs w:val="22"/>
        </w:rPr>
        <w:t>TAMBIÉN SE SOLICITAN LOS PERMISOS DE ALINEAMIENTO Y NÚMEROS OFICIAL DEL PREDIO ORIGINAL DEL FRACCIONAMIENTO, ASI COMO DE TODOS LOS NÚMEROS OTORGADOS DENTRO DEL MISMO.”</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 xml:space="preserve">De lo anteriormente manifestado por el solicitante </w:t>
      </w:r>
      <w:r w:rsidRPr="00223224">
        <w:rPr>
          <w:rFonts w:ascii="Arial" w:hAnsi="Arial" w:cs="Arial"/>
          <w:b/>
          <w:i/>
          <w:color w:val="595959" w:themeColor="text1" w:themeTint="A6"/>
          <w:sz w:val="22"/>
          <w:szCs w:val="22"/>
        </w:rPr>
        <w:t>C. MILTON TORRES</w:t>
      </w:r>
      <w:r w:rsidRPr="00223224">
        <w:rPr>
          <w:rFonts w:ascii="Arial" w:hAnsi="Arial" w:cs="Arial"/>
          <w:i/>
          <w:color w:val="595959" w:themeColor="text1" w:themeTint="A6"/>
          <w:sz w:val="22"/>
          <w:szCs w:val="22"/>
        </w:rPr>
        <w:t>, me permito dar  contestación en los siguientes  términos:</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 xml:space="preserve">El área correspondiente y autorizada para brindar la información solicitada por el ciudadano  </w:t>
      </w:r>
      <w:r w:rsidRPr="00223224">
        <w:rPr>
          <w:rFonts w:ascii="Arial" w:hAnsi="Arial" w:cs="Arial"/>
          <w:b/>
          <w:i/>
          <w:color w:val="595959" w:themeColor="text1" w:themeTint="A6"/>
          <w:sz w:val="22"/>
          <w:szCs w:val="22"/>
        </w:rPr>
        <w:t>C. MILTON TORRES</w:t>
      </w:r>
      <w:r w:rsidRPr="00223224">
        <w:rPr>
          <w:rFonts w:ascii="Arial" w:hAnsi="Arial" w:cs="Arial"/>
          <w:i/>
          <w:color w:val="595959" w:themeColor="text1" w:themeTint="A6"/>
          <w:sz w:val="22"/>
          <w:szCs w:val="22"/>
        </w:rPr>
        <w:t xml:space="preserve"> en las líneas que anteceden corresponde a la </w:t>
      </w:r>
      <w:r w:rsidRPr="00223224">
        <w:rPr>
          <w:rFonts w:ascii="Arial" w:hAnsi="Arial" w:cs="Arial"/>
          <w:b/>
          <w:i/>
          <w:color w:val="595959" w:themeColor="text1" w:themeTint="A6"/>
          <w:sz w:val="22"/>
          <w:szCs w:val="22"/>
          <w:u w:val="single"/>
        </w:rPr>
        <w:t>DIRECCION GENERAL DE CATASTRO Y DESARROLLO URBANO</w:t>
      </w:r>
      <w:r w:rsidRPr="00223224">
        <w:rPr>
          <w:rFonts w:ascii="Arial" w:hAnsi="Arial" w:cs="Arial"/>
          <w:i/>
          <w:color w:val="595959" w:themeColor="text1" w:themeTint="A6"/>
          <w:sz w:val="22"/>
          <w:szCs w:val="22"/>
          <w:u w:val="single"/>
        </w:rPr>
        <w:t xml:space="preserve">, ya que es su competencia  poner a la vista dicho resultado toda vez que es el área correspondiente y  facultada así como se establece en los </w:t>
      </w:r>
      <w:r w:rsidRPr="00223224">
        <w:rPr>
          <w:rFonts w:ascii="Arial" w:hAnsi="Arial" w:cs="Arial"/>
          <w:i/>
          <w:color w:val="595959" w:themeColor="text1" w:themeTint="A6"/>
          <w:sz w:val="22"/>
          <w:szCs w:val="22"/>
          <w:u w:val="single"/>
        </w:rPr>
        <w:lastRenderedPageBreak/>
        <w:t>artículos 133 fracción I, 160,161, 162 fracción XXIII del Reglamento Interno de Municipio de San Luis Potosí.</w:t>
      </w:r>
      <w:r w:rsidRPr="00223224">
        <w:rPr>
          <w:rFonts w:ascii="Arial" w:hAnsi="Arial" w:cs="Arial"/>
          <w:b/>
          <w:i/>
          <w:color w:val="595959" w:themeColor="text1" w:themeTint="A6"/>
          <w:sz w:val="22"/>
          <w:szCs w:val="22"/>
        </w:rPr>
        <w:t xml:space="preserve"> </w:t>
      </w:r>
      <w:r w:rsidRPr="00223224">
        <w:rPr>
          <w:rFonts w:ascii="Arial" w:hAnsi="Arial" w:cs="Arial"/>
          <w:i/>
          <w:color w:val="595959" w:themeColor="text1" w:themeTint="A6"/>
          <w:sz w:val="22"/>
          <w:szCs w:val="22"/>
        </w:rPr>
        <w:t>Ya que toda la información solicitada por el particular solo la tiene la mencionada dirección por ser de su única y exclusiva competencia.</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 xml:space="preserve">Ahora bien lo solicitado por el particular </w:t>
      </w:r>
      <w:r w:rsidRPr="00223224">
        <w:rPr>
          <w:rFonts w:ascii="Arial" w:hAnsi="Arial" w:cs="Arial"/>
          <w:b/>
          <w:i/>
          <w:color w:val="595959" w:themeColor="text1" w:themeTint="A6"/>
          <w:sz w:val="22"/>
          <w:szCs w:val="22"/>
        </w:rPr>
        <w:t>C. MILTON TORRES</w:t>
      </w:r>
      <w:r w:rsidRPr="00223224">
        <w:rPr>
          <w:rFonts w:ascii="Arial" w:hAnsi="Arial" w:cs="Arial"/>
          <w:i/>
          <w:color w:val="595959" w:themeColor="text1" w:themeTint="A6"/>
          <w:sz w:val="22"/>
          <w:szCs w:val="22"/>
        </w:rPr>
        <w:t>, con respecto a el “</w:t>
      </w:r>
      <w:r w:rsidRPr="00223224">
        <w:rPr>
          <w:rFonts w:ascii="Arial" w:hAnsi="Arial" w:cs="Arial"/>
          <w:b/>
          <w:i/>
          <w:color w:val="595959" w:themeColor="text1" w:themeTint="A6"/>
          <w:sz w:val="22"/>
          <w:szCs w:val="22"/>
          <w:u w:val="single"/>
        </w:rPr>
        <w:t>ACTA DE INAGURACION  DEL FRACCIONAMIENTO</w:t>
      </w:r>
      <w:r w:rsidRPr="00223224">
        <w:rPr>
          <w:rFonts w:ascii="Arial" w:hAnsi="Arial" w:cs="Arial"/>
          <w:b/>
          <w:i/>
          <w:color w:val="595959" w:themeColor="text1" w:themeTint="A6"/>
          <w:sz w:val="22"/>
          <w:szCs w:val="22"/>
        </w:rPr>
        <w:t xml:space="preserve"> QUE REALIZO EL PRESIDENTE MUNICIPAL, EL C. MARIO GARCÍA EN SU PERIODO DE PRESIDENTE MUNICIPAL DEL 2012 - 2015” </w:t>
      </w:r>
      <w:r w:rsidRPr="00223224">
        <w:rPr>
          <w:rFonts w:ascii="Arial" w:hAnsi="Arial" w:cs="Arial"/>
          <w:i/>
          <w:color w:val="595959" w:themeColor="text1" w:themeTint="A6"/>
          <w:sz w:val="22"/>
          <w:szCs w:val="22"/>
        </w:rPr>
        <w:t>se contesta lo siguiente:</w:t>
      </w:r>
      <w:r w:rsidRPr="00223224">
        <w:rPr>
          <w:rFonts w:ascii="Arial" w:hAnsi="Arial" w:cs="Arial"/>
          <w:b/>
          <w:i/>
          <w:color w:val="595959" w:themeColor="text1" w:themeTint="A6"/>
          <w:sz w:val="22"/>
          <w:szCs w:val="22"/>
        </w:rPr>
        <w:t xml:space="preserve"> </w:t>
      </w:r>
      <w:r w:rsidRPr="00223224">
        <w:rPr>
          <w:rFonts w:ascii="Arial" w:hAnsi="Arial" w:cs="Arial"/>
          <w:i/>
          <w:color w:val="595959" w:themeColor="text1" w:themeTint="A6"/>
          <w:sz w:val="22"/>
          <w:szCs w:val="22"/>
        </w:rPr>
        <w:t xml:space="preserve">dicha acta invocada </w:t>
      </w:r>
      <w:r w:rsidRPr="00223224">
        <w:rPr>
          <w:rFonts w:ascii="Arial" w:hAnsi="Arial" w:cs="Arial"/>
          <w:b/>
          <w:i/>
          <w:color w:val="595959" w:themeColor="text1" w:themeTint="A6"/>
          <w:sz w:val="22"/>
          <w:szCs w:val="22"/>
        </w:rPr>
        <w:t xml:space="preserve"> </w:t>
      </w:r>
      <w:r w:rsidRPr="00223224">
        <w:rPr>
          <w:rFonts w:ascii="Arial" w:hAnsi="Arial" w:cs="Arial"/>
          <w:i/>
          <w:color w:val="595959" w:themeColor="text1" w:themeTint="A6"/>
          <w:sz w:val="22"/>
          <w:szCs w:val="22"/>
        </w:rPr>
        <w:t xml:space="preserve">a que refiere el ciudadano no figura como tal con ese término calificativo, en esta Oficina de Presidencia en virtud de que solo se realiza un acto de protocolo del evento, siendo así que los datos de inauguración del fraccionamiento señalado a los que se refiere el particular  se encuentran estipulados en el documento llamado  </w:t>
      </w:r>
      <w:r w:rsidRPr="00223224">
        <w:rPr>
          <w:rFonts w:ascii="Arial" w:hAnsi="Arial" w:cs="Arial"/>
          <w:b/>
          <w:i/>
          <w:color w:val="595959" w:themeColor="text1" w:themeTint="A6"/>
          <w:sz w:val="22"/>
          <w:szCs w:val="22"/>
        </w:rPr>
        <w:t xml:space="preserve">ACTA DE MUNICIPALIZACION DEL FRACCIONAMIENTO </w:t>
      </w:r>
      <w:r w:rsidRPr="00223224">
        <w:rPr>
          <w:rFonts w:ascii="Arial" w:hAnsi="Arial" w:cs="Arial"/>
          <w:i/>
          <w:color w:val="595959" w:themeColor="text1" w:themeTint="A6"/>
          <w:sz w:val="22"/>
          <w:szCs w:val="22"/>
        </w:rPr>
        <w:t>en mención.</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Aunado a lo anteriormente expuesto cabe hacer mención que en dicho Reglamento señalado con antelación, el Presidente Municipal tiene las facultades de crear Direcciones y Órganos de la administración pública municipal con la finalidad de encomendar y delegar en sus subordinados  aquello  que sea necesario para el  ejercicio  de  las  funciones  que  queden a  cargo de   los mismos, con fundamento en el artículo 109 fracción I, VIII y XVIII en el Reglamento Interno del Municipio de San Luis Potosí, S.L.P. cuyo extracto se presenta a continuación:</w:t>
      </w:r>
    </w:p>
    <w:p w:rsidR="003679A3" w:rsidRPr="00223224" w:rsidRDefault="003679A3" w:rsidP="003679A3">
      <w:pPr>
        <w:spacing w:line="240" w:lineRule="auto"/>
        <w:ind w:left="709" w:firstLine="709"/>
        <w:rPr>
          <w:rFonts w:ascii="Arial" w:hAnsi="Arial" w:cs="Arial"/>
          <w:b/>
          <w:i/>
          <w:color w:val="595959" w:themeColor="text1" w:themeTint="A6"/>
          <w:sz w:val="22"/>
          <w:szCs w:val="22"/>
        </w:rPr>
      </w:pPr>
      <w:r w:rsidRPr="00223224">
        <w:rPr>
          <w:rFonts w:ascii="Arial" w:hAnsi="Arial" w:cs="Arial"/>
          <w:i/>
          <w:color w:val="595959" w:themeColor="text1" w:themeTint="A6"/>
          <w:sz w:val="22"/>
          <w:szCs w:val="22"/>
        </w:rPr>
        <w:t>“</w:t>
      </w:r>
      <w:r w:rsidRPr="00223224">
        <w:rPr>
          <w:rFonts w:ascii="Arial" w:hAnsi="Arial" w:cs="Arial"/>
          <w:b/>
          <w:i/>
          <w:color w:val="595959" w:themeColor="text1" w:themeTint="A6"/>
          <w:sz w:val="22"/>
          <w:szCs w:val="22"/>
        </w:rPr>
        <w:t>Artículo 109.-</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El Presidente Municipal, tendrá las siguientes obligaciones y facultades, sin perjuicio de las que le señala la Ley Orgánica:</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b/>
          <w:i/>
          <w:color w:val="595959" w:themeColor="text1" w:themeTint="A6"/>
          <w:sz w:val="22"/>
          <w:szCs w:val="22"/>
        </w:rPr>
        <w:t>I.-</w:t>
      </w:r>
      <w:r w:rsidRPr="00223224">
        <w:rPr>
          <w:rFonts w:ascii="Arial" w:hAnsi="Arial" w:cs="Arial"/>
          <w:i/>
          <w:color w:val="595959" w:themeColor="text1" w:themeTint="A6"/>
          <w:sz w:val="22"/>
          <w:szCs w:val="22"/>
        </w:rPr>
        <w:t xml:space="preserve"> Celebrar en nombre del Gobierno Municipal los contratos y demás actos administrativos y jurídicos necesarios para el despacho de los negocios administrativos, el ejercicio de las funciones y </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 xml:space="preserve">la atención de los servicios municipales, en todas aquellas cuestiones que no competan directamente al Cabildo en los términos de la Ley Orgánica, </w:t>
      </w:r>
      <w:r w:rsidRPr="00223224">
        <w:rPr>
          <w:rFonts w:ascii="Arial" w:hAnsi="Arial" w:cs="Arial"/>
          <w:b/>
          <w:i/>
          <w:color w:val="595959" w:themeColor="text1" w:themeTint="A6"/>
          <w:sz w:val="22"/>
          <w:szCs w:val="22"/>
          <w:u w:val="single"/>
        </w:rPr>
        <w:t>creando para ello las direcciones y demás órganos de la Administración Municipal que considere necesarios,</w:t>
      </w:r>
      <w:r w:rsidRPr="00223224">
        <w:rPr>
          <w:rFonts w:ascii="Arial" w:hAnsi="Arial" w:cs="Arial"/>
          <w:i/>
          <w:color w:val="595959" w:themeColor="text1" w:themeTint="A6"/>
          <w:sz w:val="22"/>
          <w:szCs w:val="22"/>
        </w:rPr>
        <w:t xml:space="preserve"> de conformidad con las obligaciones y facultades que le otorgan las leyes federales y estatales aplicables y este mismo Reglamento Interno.</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b/>
          <w:i/>
          <w:color w:val="595959" w:themeColor="text1" w:themeTint="A6"/>
          <w:sz w:val="22"/>
          <w:szCs w:val="22"/>
        </w:rPr>
        <w:t>VIII.-</w:t>
      </w:r>
      <w:r w:rsidRPr="00223224">
        <w:rPr>
          <w:rFonts w:ascii="Arial" w:hAnsi="Arial" w:cs="Arial"/>
          <w:i/>
          <w:color w:val="595959" w:themeColor="text1" w:themeTint="A6"/>
          <w:sz w:val="22"/>
          <w:szCs w:val="22"/>
        </w:rPr>
        <w:t xml:space="preserve"> </w:t>
      </w:r>
      <w:r w:rsidRPr="00223224">
        <w:rPr>
          <w:rFonts w:ascii="Arial" w:hAnsi="Arial" w:cs="Arial"/>
          <w:b/>
          <w:i/>
          <w:color w:val="595959" w:themeColor="text1" w:themeTint="A6"/>
          <w:sz w:val="22"/>
          <w:szCs w:val="22"/>
          <w:u w:val="single"/>
        </w:rPr>
        <w:t>Encomendar a los órganos de la Administración Municipal y a sus Órganos Auxiliares el ejercicio de aquellas actividades, funciones o servicios que considere necesarios para el correcto funcionamiento del Gobierno Municipal</w:t>
      </w:r>
      <w:r w:rsidRPr="00223224">
        <w:rPr>
          <w:rFonts w:ascii="Arial" w:hAnsi="Arial" w:cs="Arial"/>
          <w:i/>
          <w:color w:val="595959" w:themeColor="text1" w:themeTint="A6"/>
          <w:sz w:val="22"/>
          <w:szCs w:val="22"/>
        </w:rPr>
        <w:t>, la debida prestación de los servicios y el efectivo ejercicio de las funciones que al mismo competen, así como aprobar las bases normativas internas de cada uno de los mismos.</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b/>
          <w:i/>
          <w:color w:val="595959" w:themeColor="text1" w:themeTint="A6"/>
          <w:sz w:val="22"/>
          <w:szCs w:val="22"/>
        </w:rPr>
        <w:t>XVIII.-</w:t>
      </w:r>
      <w:r w:rsidRPr="00223224">
        <w:rPr>
          <w:rFonts w:ascii="Arial" w:hAnsi="Arial" w:cs="Arial"/>
          <w:i/>
          <w:color w:val="595959" w:themeColor="text1" w:themeTint="A6"/>
          <w:sz w:val="22"/>
          <w:szCs w:val="22"/>
        </w:rPr>
        <w:t xml:space="preserve"> </w:t>
      </w:r>
      <w:r w:rsidRPr="00223224">
        <w:rPr>
          <w:rFonts w:ascii="Arial" w:hAnsi="Arial" w:cs="Arial"/>
          <w:b/>
          <w:i/>
          <w:color w:val="595959" w:themeColor="text1" w:themeTint="A6"/>
          <w:sz w:val="22"/>
          <w:szCs w:val="22"/>
          <w:u w:val="single"/>
        </w:rPr>
        <w:t>Delegar en sus subordinados aquellas de sus facultades que sean necesarias para el ejercicio de las funciones que queden a cargo de los mismos.</w:t>
      </w:r>
      <w:r w:rsidRPr="00223224">
        <w:rPr>
          <w:rFonts w:ascii="Arial" w:hAnsi="Arial" w:cs="Arial"/>
          <w:i/>
          <w:color w:val="595959" w:themeColor="text1" w:themeTint="A6"/>
          <w:sz w:val="22"/>
          <w:szCs w:val="22"/>
        </w:rPr>
        <w:t>”</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Circunstancia que hago de su especial conocimiento para que ocurra ante esta</w:t>
      </w:r>
      <w:r w:rsidRPr="00223224">
        <w:rPr>
          <w:rFonts w:ascii="Arial" w:hAnsi="Arial" w:cs="Arial"/>
          <w:b/>
          <w:i/>
          <w:color w:val="595959" w:themeColor="text1" w:themeTint="A6"/>
          <w:sz w:val="22"/>
          <w:szCs w:val="22"/>
        </w:rPr>
        <w:t xml:space="preserve"> DIRECCION GENERAL DE CATASTRO Y DESARROLLO URBANO</w:t>
      </w:r>
      <w:r w:rsidRPr="00223224">
        <w:rPr>
          <w:rFonts w:ascii="Arial" w:hAnsi="Arial" w:cs="Arial"/>
          <w:i/>
          <w:color w:val="595959" w:themeColor="text1" w:themeTint="A6"/>
          <w:sz w:val="22"/>
          <w:szCs w:val="22"/>
        </w:rPr>
        <w:t>, que es la encomendada de rendir dicha información, en virtud de ser un tema específico de la construcción del fraccionamiento mencionado a supra líneas, en lo que respecta a esta oficina de Presidencia está solo delega dicha facultad al área correspondiente.</w:t>
      </w:r>
    </w:p>
    <w:p w:rsidR="003679A3" w:rsidRPr="00223224" w:rsidRDefault="003679A3" w:rsidP="003679A3">
      <w:pPr>
        <w:pStyle w:val="normal0"/>
        <w:spacing w:after="0" w:line="240" w:lineRule="auto"/>
        <w:ind w:left="709" w:firstLine="709"/>
        <w:jc w:val="both"/>
        <w:rPr>
          <w:rFonts w:ascii="Arial" w:eastAsia="Arial" w:hAnsi="Arial" w:cs="Arial"/>
          <w:i/>
          <w:color w:val="595959" w:themeColor="text1" w:themeTint="A6"/>
        </w:rPr>
      </w:pPr>
      <w:r w:rsidRPr="00223224">
        <w:rPr>
          <w:rFonts w:ascii="Arial" w:eastAsia="Arial" w:hAnsi="Arial" w:cs="Arial"/>
          <w:i/>
          <w:color w:val="595959" w:themeColor="text1" w:themeTint="A6"/>
        </w:rPr>
        <w:t xml:space="preserve"> Sin más por el momento y agradeciendo su atención, quedo de usted, en relación al cumplimiento que nos compete según la Ley de Transparencia y Acceso a la Información Pública del Estado de San Luis Potosí.</w:t>
      </w:r>
    </w:p>
    <w:p w:rsidR="003679A3" w:rsidRPr="00223224" w:rsidRDefault="003679A3" w:rsidP="003679A3">
      <w:pPr>
        <w:pStyle w:val="NormalWeb"/>
        <w:shd w:val="clear" w:color="auto" w:fill="FFFFFF"/>
        <w:spacing w:before="0" w:beforeAutospacing="0" w:after="0" w:afterAutospacing="0"/>
        <w:ind w:left="709" w:firstLine="709"/>
        <w:jc w:val="both"/>
        <w:rPr>
          <w:rFonts w:ascii="Arial" w:hAnsi="Arial" w:cs="Arial"/>
          <w:i/>
          <w:color w:val="595959" w:themeColor="text1" w:themeTint="A6"/>
          <w:sz w:val="22"/>
          <w:szCs w:val="22"/>
        </w:rPr>
      </w:pPr>
    </w:p>
    <w:p w:rsidR="003679A3" w:rsidRPr="00223224" w:rsidRDefault="003679A3" w:rsidP="003679A3">
      <w:pPr>
        <w:pStyle w:val="NormalWeb"/>
        <w:shd w:val="clear" w:color="auto" w:fill="FFFFFF"/>
        <w:spacing w:before="0" w:beforeAutospacing="0" w:after="0" w:afterAutospacing="0"/>
        <w:ind w:left="709" w:firstLine="709"/>
        <w:jc w:val="both"/>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 xml:space="preserve">Oficio </w:t>
      </w:r>
      <w:r w:rsidRPr="00223224">
        <w:rPr>
          <w:rFonts w:ascii="Arial" w:hAnsi="Arial" w:cs="Arial"/>
          <w:b/>
          <w:i/>
          <w:color w:val="595959" w:themeColor="text1" w:themeTint="A6"/>
          <w:sz w:val="22"/>
          <w:szCs w:val="22"/>
        </w:rPr>
        <w:t>CAL/032/2018</w:t>
      </w:r>
      <w:r w:rsidRPr="00223224">
        <w:rPr>
          <w:rFonts w:ascii="Arial" w:hAnsi="Arial" w:cs="Arial"/>
          <w:i/>
          <w:color w:val="595959" w:themeColor="text1" w:themeTint="A6"/>
          <w:sz w:val="22"/>
          <w:szCs w:val="22"/>
        </w:rPr>
        <w:t>, recibido en fecha 17 (diecisiete) de enero de 2018 (dos mil dieciocho),  suscrito por la Licenciada María Concepción Vázquez Ojeda, Directora de Catastro y Desarrollo Urbano quien en lo que interesa manifiesta:</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lastRenderedPageBreak/>
        <w:t xml:space="preserve">Por medio del presente y en atención a su escrito recibido en esta Dirección de Catastro y Desarrollo Urbano de este H. Municipio el día 08 de enero del 2018, con número de oficio </w:t>
      </w:r>
      <w:r w:rsidRPr="00223224">
        <w:rPr>
          <w:rFonts w:ascii="Arial" w:hAnsi="Arial" w:cs="Arial"/>
          <w:b/>
          <w:i/>
          <w:color w:val="595959" w:themeColor="text1" w:themeTint="A6"/>
          <w:sz w:val="22"/>
          <w:szCs w:val="22"/>
        </w:rPr>
        <w:t>U.T. 0031/18</w:t>
      </w:r>
      <w:r w:rsidRPr="00223224">
        <w:rPr>
          <w:rFonts w:ascii="Arial" w:hAnsi="Arial" w:cs="Arial"/>
          <w:i/>
          <w:color w:val="595959" w:themeColor="text1" w:themeTint="A6"/>
          <w:sz w:val="22"/>
          <w:szCs w:val="22"/>
        </w:rPr>
        <w:t xml:space="preserve">, folio 3118, a través del cual remite solicitud de información pública que realiza el </w:t>
      </w:r>
      <w:r w:rsidRPr="00223224">
        <w:rPr>
          <w:rFonts w:ascii="Arial" w:hAnsi="Arial" w:cs="Arial"/>
          <w:b/>
          <w:i/>
          <w:color w:val="595959" w:themeColor="text1" w:themeTint="A6"/>
          <w:sz w:val="22"/>
          <w:szCs w:val="22"/>
        </w:rPr>
        <w:t>C. Milton Torres</w:t>
      </w:r>
      <w:r w:rsidRPr="00223224">
        <w:rPr>
          <w:rFonts w:ascii="Arial" w:hAnsi="Arial" w:cs="Arial"/>
          <w:i/>
          <w:color w:val="595959" w:themeColor="text1" w:themeTint="A6"/>
          <w:sz w:val="22"/>
          <w:szCs w:val="22"/>
        </w:rPr>
        <w:t>, que a la letra dice”…TODA LA INFORMACION RELACIONADA CON LA CONSTRUCCION DEL FRACCIONAMIENTO VILLA FONTANA UBICADO EN EL NORTE DE LA CIUDAD DE SAN LUIS POTOSI EN LAS INMEDIACIONES DE LA COLONIA TERCERA CHICA, LA INFORMACION QUE SE SOLICITA ES DESDE EL TRASLADO DE DOMINIO DEL FRACCIONAMIENTO, PERMIOSO DE CONSTRUCCION ENTREGA RECEPCION DEL FRACCIONAMIENTO, MUNICIPALIZACION DEL FRACCIONAMIENTO. EN CONCRETO TODA LA INFORMACION DE SU CONSTRUCCION, PERMISOS Y ACTAS DE ENTREGA DEL FRACCIONAMIENTO, ASI COMO LOS NOMBRES DE LAS CALLES QUE COMPONEN ESTE FRACCIONAMIENTO Y LOS PERMISOS QUE LO AUTORIZAN. ADEMAS SE SOLICITA EL ACTA DE INAUGURACION DEL FRACCIONAMIENTO QUE REALIZO EL PRESIDENTE MUNICIPAL, EL C. MARIO GARCIA EN SU PERIODO DE PRESIDENTE MUNICIPAL DEL 2012-2015. TAMBIEN SE SOLICITAN LOS PERMISOS DE ALINEAMIENTO Y NUMERO OFICIAL DEL PREDIO ORIGINAL DEL FRACCIONAMIENTO, ASI COMO DE TODOS LOS NUMEROS OTORGADOS DENTRO DEL MISMO …” al respecto expongo:</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Que dentro de nuestras facultades y competencias y una vez realizada la búsqueda correspondiente, en razón de los datos que proporciona el peticionario, y estando dentro del término establecido por la Unidad de Transparencia, esta Autoridad le informa lo siguiente:</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1.- Respecto a “…DESDE EL TRASLADO DE DOMINIO DEL FRACCIONAMIENTO…” le informo lo siguiente:</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Que esta Dirección de Catastro y Desarrollo Urbano cuenta con un Padrón Catastral de Información, la cual se encuentra catalogada como RESERVADA, en atención al Acuerdo de Reserva C.T.- A.R. 047/2017, confirmado por el Comité de Transparencia de este H. Ayuntamiento de San Luis Potosí, en su Decima Sesión Extraordinaria correspondiente al año 2017, celebrada el día 08 de Junio de la presente anualidad, conforme a lo dispuesto por los artículos 3° fracción XXI, 113, 127 y 129 fracciones IV y XII, de la Ley de Transparencia y Acceso a la Información Pública del Estado de San Luis Potosí; en concatenación con el Lineamiento Trigésimo Segundo, de los Lineamiento Generales en Materia de Clasificación y Desclasificación de la Información Pública, que otorgan tal clasificación de Reservada a la totalidad de la información que conforma el Padrón Catastral, por lo que lo solicitado no podrá ser proporcionado, hasta en tanto no se acredite la personalidad y el interés jurídico, para efecto de poder proporcionar la información que requiere de esta Autoridad Catastral.</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2.- Respecto a “…PERMISOS DE CONSTRUCCIÓN, ENTREGA/RECEPCIÓN DEL FRACCIONAMIENTO, MUNICIPALIZACIÓN DEL FRACCIONAMIENTO…”, al respecto pongo a su disposición en versión pública de la siguiente información:</w:t>
      </w:r>
    </w:p>
    <w:p w:rsidR="003679A3" w:rsidRPr="00223224" w:rsidRDefault="003679A3" w:rsidP="003679A3">
      <w:pPr>
        <w:pStyle w:val="Prrafodelista"/>
        <w:numPr>
          <w:ilvl w:val="0"/>
          <w:numId w:val="26"/>
        </w:num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Factibilidad de uso de suelo. (07)</w:t>
      </w:r>
    </w:p>
    <w:p w:rsidR="003679A3" w:rsidRPr="00223224" w:rsidRDefault="003679A3" w:rsidP="003679A3">
      <w:pPr>
        <w:pStyle w:val="Prrafodelista"/>
        <w:numPr>
          <w:ilvl w:val="0"/>
          <w:numId w:val="26"/>
        </w:num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Constancia que emite Secretaria General del H. Ayuntamiento, de Autorización de cabildo. (02)</w:t>
      </w:r>
    </w:p>
    <w:p w:rsidR="003679A3" w:rsidRPr="00223224" w:rsidRDefault="003679A3" w:rsidP="003679A3">
      <w:pPr>
        <w:pStyle w:val="Prrafodelista"/>
        <w:numPr>
          <w:ilvl w:val="0"/>
          <w:numId w:val="26"/>
        </w:num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Entrega recepción del Fraccionamiento/Municipalización (06)</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 xml:space="preserve">3.- Respecto a “...EN CONCRETO TODA LA INFORMACION DE SU CONSTRUCCION, PERMISOS Y ACTAS DE ENTREGA DEL FRACCIONAMIENTO, ASI COMO LOS NOMBRES DE LAS CALLES QUE COMPONEN ESTE FRACCIONAMIENTO Y LOS PERMISOS QUE LO AUTORIZAN…” al respecto pongo a su disposición en versión pública de la siguiente información: </w:t>
      </w:r>
    </w:p>
    <w:p w:rsidR="003679A3" w:rsidRPr="00223224" w:rsidRDefault="003679A3" w:rsidP="003679A3">
      <w:pPr>
        <w:pStyle w:val="Prrafodelista"/>
        <w:spacing w:line="240" w:lineRule="auto"/>
        <w:ind w:left="709" w:firstLine="709"/>
        <w:rPr>
          <w:rFonts w:ascii="Arial" w:hAnsi="Arial" w:cs="Arial"/>
          <w:i/>
          <w:color w:val="595959" w:themeColor="text1" w:themeTint="A6"/>
          <w:sz w:val="22"/>
          <w:szCs w:val="22"/>
        </w:rPr>
      </w:pPr>
    </w:p>
    <w:p w:rsidR="003679A3" w:rsidRPr="00223224" w:rsidRDefault="003679A3" w:rsidP="003679A3">
      <w:pPr>
        <w:pStyle w:val="Prrafodelista"/>
        <w:numPr>
          <w:ilvl w:val="0"/>
          <w:numId w:val="27"/>
        </w:num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lastRenderedPageBreak/>
        <w:t>Plano de lotificación del Fraccionamiento (01 PLANO)</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4.-  Respecto a “…ADEMAS SE SOLICITA EL ACTA DE INAUGURACION DEL FRACCIONAMIENTO QUE REALIZO EL PRESIDENTE MUNICIPAL, EL C. MARIO GARCIA EN SU PERIODO DE PRESIDENTE MUNICIPAL DEL 2012-2015…”al respecto le informo que esta Dirección carece de competencia, derivado a que no se encuentra dentro de las funciones de la misma, realizar actas de inauguración de fraccionamientos.</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5.- Respecto a “…TAMBIEN SE SOLICITAN LOS PERMISOS DE ALINEAMIENTO Y NUMERO OFICIAL DEL PREDIO ORIGINAL DEL FRACCIONAMIENTO, ASI COMO DE TODOS LOS NUMEROS OTORGADOS DENTRO DEL MISMO…” al respecto pongo a su disposición en versión pública de la siguiente información:</w:t>
      </w:r>
    </w:p>
    <w:p w:rsidR="003679A3" w:rsidRPr="00223224" w:rsidRDefault="003679A3" w:rsidP="003679A3">
      <w:pPr>
        <w:pStyle w:val="Prrafodelista"/>
        <w:numPr>
          <w:ilvl w:val="0"/>
          <w:numId w:val="27"/>
        </w:num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Alineamiento y número oficial del Fraccionamiento. (01)</w:t>
      </w:r>
    </w:p>
    <w:p w:rsidR="003679A3" w:rsidRPr="00223224" w:rsidRDefault="003679A3" w:rsidP="003679A3">
      <w:pPr>
        <w:pStyle w:val="Prrafodelista"/>
        <w:numPr>
          <w:ilvl w:val="0"/>
          <w:numId w:val="27"/>
        </w:num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Licencia para construcción y Alineamiento y número oficial de casa habitación pertenecientes al Fraccionamiento. (05)</w:t>
      </w:r>
    </w:p>
    <w:p w:rsidR="003679A3" w:rsidRPr="00223224" w:rsidRDefault="003679A3" w:rsidP="003679A3">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Lo anterior, previo pago de un 01 plano en copia simple que realice el solicitante, de conformidad con lo establecido en el último párrafo del artículo 20 de la Ley de Ingresos para el Municipio Libre de San Luis Potosí, para el presente Ejercicio Fiscal (5 U.M.A. por cada plano) más previo pago de 21 (veintiún) copias simples que realice el solicitante de conformidad con lo establecido en la fracción XV del artículo 31 de la Ley anteriormente citada (0.50 U.M.A.). Cantidad que una vez cubierta se someterá a consideración del Comité de Transparencia Municipal, para efecto de su autorización, toda vez que el plano al que desea acceder por contener datos confidenciales, se tendrá que realizar la versión publica que por normatividad en materia de Transparencia tiene que ser consentida por el Comité en cita, siguiendo los Lineamientos Generales en materia de Clasificación y Desclasificación de la información, así como para la elaboración en versión pública, en atención a lo establecido por el apartado Quincuagésimo Sexto que señala: La versión pública del documento o expediente que contenga partes o secciones reservadas o confidenciales, será elaborada por los sujetos obligados, previo pago de los costos de reproducción, a través de sus áreas y deberá ser aprobada por su Comité de Transparencia; y posteriormente se le hará entrega de lo solicitado.</w:t>
      </w:r>
    </w:p>
    <w:p w:rsidR="003679A3" w:rsidRPr="00223224" w:rsidRDefault="003679A3" w:rsidP="003679A3">
      <w:pPr>
        <w:shd w:val="clear" w:color="auto" w:fill="FFFFFF"/>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 xml:space="preserve">De conformidad con los numerales 115 fracción V de la Constitución Política de los Estados Unidos Mexicanos, 114 de la Constitución Política del Estado de San Luís Potosí, 133 fracción I, 161 y 162 del Reglamento Interno del Municipio Libre de San Luís Potosí, apartado relativo del Manual General de Organización del H. Ayuntamiento de San Luís Potosí y artículo Decimo Primero del Acuerdo que establece la Estructura Orgánica de la Administración Pública Municipal para el Periodo Constitucional 2015-2018, publicado en el Periódico Oficial del Estado el día 03 de Octubre de 2015.  </w:t>
      </w:r>
    </w:p>
    <w:p w:rsidR="003679A3" w:rsidRPr="00223224" w:rsidRDefault="003679A3" w:rsidP="003679A3">
      <w:pPr>
        <w:shd w:val="clear" w:color="auto" w:fill="FFFFFF"/>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Se adjunta en archivo digital el acuerdo de reserva C.T.-A.R. 047/2017, mismo que guarda relación con lo citado por la Directora de Catastro y Desarrollo Urbano.</w:t>
      </w:r>
    </w:p>
    <w:p w:rsidR="003679A3" w:rsidRPr="00223224" w:rsidRDefault="003679A3" w:rsidP="003679A3">
      <w:pPr>
        <w:pStyle w:val="Ttulo1"/>
        <w:spacing w:line="240" w:lineRule="auto"/>
        <w:ind w:left="709" w:firstLine="709"/>
        <w:rPr>
          <w:rFonts w:ascii="Arial" w:hAnsi="Arial"/>
          <w:b/>
          <w:bCs w:val="0"/>
          <w:color w:val="595959" w:themeColor="text1" w:themeTint="A6"/>
          <w:kern w:val="0"/>
          <w:szCs w:val="22"/>
          <w:lang w:val="es-MX"/>
        </w:rPr>
      </w:pPr>
      <w:r w:rsidRPr="00223224">
        <w:rPr>
          <w:rFonts w:ascii="Arial" w:hAnsi="Arial"/>
          <w:b/>
          <w:bCs w:val="0"/>
          <w:color w:val="595959" w:themeColor="text1" w:themeTint="A6"/>
          <w:kern w:val="0"/>
          <w:szCs w:val="22"/>
          <w:lang w:val="es-MX"/>
        </w:rPr>
        <w:t xml:space="preserve">Ahora bien, referente al pago de derechos a que hace referencia la Dirección de Catastro y Desarrollo Urbano en el oficio - </w:t>
      </w:r>
      <w:r w:rsidRPr="00223224">
        <w:rPr>
          <w:rFonts w:ascii="Arial" w:hAnsi="Arial"/>
          <w:color w:val="595959" w:themeColor="text1" w:themeTint="A6"/>
          <w:szCs w:val="22"/>
        </w:rPr>
        <w:t>CAL/032/2018</w:t>
      </w:r>
      <w:r w:rsidRPr="00223224">
        <w:rPr>
          <w:rFonts w:ascii="Arial" w:hAnsi="Arial"/>
          <w:b/>
          <w:bCs w:val="0"/>
          <w:color w:val="595959" w:themeColor="text1" w:themeTint="A6"/>
          <w:kern w:val="0"/>
          <w:szCs w:val="22"/>
          <w:lang w:val="es-MX"/>
        </w:rPr>
        <w:t xml:space="preserve">-   pone a su disposición  previo pago, en </w:t>
      </w:r>
      <w:r w:rsidRPr="00223224">
        <w:rPr>
          <w:rFonts w:ascii="Arial" w:hAnsi="Arial"/>
          <w:b/>
          <w:bCs w:val="0"/>
          <w:color w:val="595959" w:themeColor="text1" w:themeTint="A6"/>
          <w:kern w:val="0"/>
          <w:szCs w:val="22"/>
          <w:u w:val="single"/>
          <w:lang w:val="es-MX"/>
        </w:rPr>
        <w:t>versión  pública de  01 (un)  plano</w:t>
      </w:r>
      <w:r w:rsidRPr="00223224">
        <w:rPr>
          <w:rFonts w:ascii="Arial" w:hAnsi="Arial"/>
          <w:b/>
          <w:bCs w:val="0"/>
          <w:color w:val="595959" w:themeColor="text1" w:themeTint="A6"/>
          <w:kern w:val="0"/>
          <w:szCs w:val="22"/>
          <w:lang w:val="es-MX"/>
        </w:rPr>
        <w:t>, le informo que el costo por plano es de 5.00 UMA (unidad de medida y actualización) lo anterior acorde a lo previsto por el artículo 20  fracción I, inciso c)</w:t>
      </w:r>
      <w:r w:rsidRPr="00223224">
        <w:rPr>
          <w:rFonts w:ascii="Arial" w:hAnsi="Arial"/>
          <w:color w:val="595959" w:themeColor="text1" w:themeTint="A6"/>
          <w:szCs w:val="22"/>
        </w:rPr>
        <w:t xml:space="preserve"> </w:t>
      </w:r>
      <w:r w:rsidRPr="00223224">
        <w:rPr>
          <w:rFonts w:ascii="Arial" w:hAnsi="Arial"/>
          <w:b/>
          <w:bCs w:val="0"/>
          <w:color w:val="595959" w:themeColor="text1" w:themeTint="A6"/>
          <w:kern w:val="0"/>
          <w:szCs w:val="22"/>
          <w:lang w:val="es-MX"/>
        </w:rPr>
        <w:t xml:space="preserve">de la Ley de Ingresos del Municipio de San Luis Potosí para el ejercicio Fiscal vigente y </w:t>
      </w:r>
      <w:r w:rsidRPr="00223224">
        <w:rPr>
          <w:rFonts w:ascii="Arial" w:hAnsi="Arial"/>
          <w:b/>
          <w:bCs w:val="0"/>
          <w:color w:val="595959" w:themeColor="text1" w:themeTint="A6"/>
          <w:kern w:val="0"/>
          <w:szCs w:val="22"/>
          <w:u w:val="single"/>
          <w:lang w:val="es-MX"/>
        </w:rPr>
        <w:t>versión pública de 21(veintiún) fojas</w:t>
      </w:r>
      <w:r w:rsidRPr="00223224">
        <w:rPr>
          <w:rFonts w:ascii="Arial" w:hAnsi="Arial"/>
          <w:b/>
          <w:bCs w:val="0"/>
          <w:color w:val="595959" w:themeColor="text1" w:themeTint="A6"/>
          <w:kern w:val="0"/>
          <w:szCs w:val="22"/>
          <w:lang w:val="es-MX"/>
        </w:rPr>
        <w:t xml:space="preserve">, el costo por copia simple es de 0.50 UMA (unidad de medida y actualización), esto acorde a lo previsto por el artículo 31 fracción XV de la Ley de Ingresos del Municipio de San Luis Potosí para el ejercicio Fiscal vigente. El pago podrá efectuarlo en la Institución Bancaria BANORTE, con el número de cuenta 0457472166, CLABE interbancaria 072 700 00457472166 0, así como </w:t>
      </w:r>
      <w:r w:rsidRPr="00223224">
        <w:rPr>
          <w:rFonts w:ascii="Arial" w:hAnsi="Arial"/>
          <w:b/>
          <w:bCs w:val="0"/>
          <w:color w:val="595959" w:themeColor="text1" w:themeTint="A6"/>
          <w:kern w:val="0"/>
          <w:szCs w:val="22"/>
          <w:lang w:val="es-MX"/>
        </w:rPr>
        <w:lastRenderedPageBreak/>
        <w:t>en las oficinas de Control de Ingresos,  ubicada en  Boulevard Salvador Nava Martínez número 1580 (mil quinientos ochenta) en la colonia Santuario de esta ciudad, en días hábiles y horario de oficina. Ahora bien, se le solicita  presente la ficha del depósito y/o el recibo de entero, en esta Unidad de Transparencia, en el domicilio y horario antes citado,  mediante el cual acredite el pago por la reproducción de la información por Usted solicitada. Es importante hacer de su conocimiento que el pago deberá efectuarse en un plazo no mayor a treinta días hábiles,  la información se encontrará a su disposición por un término de sesenta días hábiles, con fundamento en el artículo 157 de la Ley en cita.  Lo anterior previa identificación y constancia que se deje de ello.</w:t>
      </w:r>
    </w:p>
    <w:p w:rsidR="003679A3" w:rsidRPr="00223224" w:rsidRDefault="003679A3" w:rsidP="003679A3">
      <w:pPr>
        <w:shd w:val="clear" w:color="auto" w:fill="FFFFFF"/>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 xml:space="preserve">Se hace del conocimiento que en lo que respecta a la </w:t>
      </w:r>
      <w:r w:rsidRPr="00223224">
        <w:rPr>
          <w:rFonts w:ascii="Arial" w:hAnsi="Arial" w:cs="Arial"/>
          <w:i/>
          <w:color w:val="595959" w:themeColor="text1" w:themeTint="A6"/>
          <w:sz w:val="22"/>
          <w:szCs w:val="22"/>
          <w:u w:val="single"/>
        </w:rPr>
        <w:t>versión pública</w:t>
      </w:r>
      <w:r w:rsidRPr="00223224">
        <w:rPr>
          <w:rFonts w:ascii="Arial" w:hAnsi="Arial" w:cs="Arial"/>
          <w:i/>
          <w:color w:val="595959" w:themeColor="text1" w:themeTint="A6"/>
          <w:sz w:val="22"/>
          <w:szCs w:val="22"/>
        </w:rPr>
        <w:t xml:space="preserve"> que mencionan el oficio </w:t>
      </w:r>
      <w:r w:rsidRPr="00223224">
        <w:rPr>
          <w:rFonts w:ascii="Arial" w:hAnsi="Arial" w:cs="Arial"/>
          <w:b/>
          <w:i/>
          <w:color w:val="595959" w:themeColor="text1" w:themeTint="A6"/>
          <w:sz w:val="22"/>
          <w:szCs w:val="22"/>
        </w:rPr>
        <w:t xml:space="preserve">CAL/032/2018,  </w:t>
      </w:r>
      <w:r w:rsidRPr="00223224">
        <w:rPr>
          <w:rFonts w:ascii="Arial" w:hAnsi="Arial" w:cs="Arial"/>
          <w:i/>
          <w:color w:val="595959" w:themeColor="text1" w:themeTint="A6"/>
          <w:sz w:val="22"/>
          <w:szCs w:val="22"/>
        </w:rPr>
        <w:t xml:space="preserve">tiene su fundamento en el </w:t>
      </w:r>
      <w:r w:rsidRPr="00223224">
        <w:rPr>
          <w:rFonts w:ascii="Arial" w:hAnsi="Arial" w:cs="Arial"/>
          <w:i/>
          <w:color w:val="595959" w:themeColor="text1" w:themeTint="A6"/>
          <w:sz w:val="22"/>
          <w:szCs w:val="22"/>
          <w:u w:val="single"/>
        </w:rPr>
        <w:t>Artículo 3° fracción XXXVII</w:t>
      </w:r>
      <w:r w:rsidRPr="00223224">
        <w:rPr>
          <w:rFonts w:ascii="Arial" w:hAnsi="Arial" w:cs="Arial"/>
          <w:i/>
          <w:color w:val="595959" w:themeColor="text1" w:themeTint="A6"/>
          <w:sz w:val="22"/>
          <w:szCs w:val="22"/>
        </w:rPr>
        <w:t xml:space="preserve"> Versión pública: el documento o expediente en el que se da acceso a información, eliminando u omitiendo las partes o secciones clasificadas. Cuando en la presente Ley por cuestiones gramaticales se utilice el genérico masculino, se entenderá que se refiere tanto a hombres como a mujeres, salvo disposición legal en contrario;  y el </w:t>
      </w:r>
      <w:r w:rsidRPr="00223224">
        <w:rPr>
          <w:rFonts w:ascii="Arial" w:hAnsi="Arial" w:cs="Arial"/>
          <w:i/>
          <w:color w:val="595959" w:themeColor="text1" w:themeTint="A6"/>
          <w:sz w:val="22"/>
          <w:szCs w:val="22"/>
          <w:u w:val="single"/>
        </w:rPr>
        <w:t>ARTÍCULO 125</w:t>
      </w:r>
      <w:r w:rsidRPr="00223224">
        <w:rPr>
          <w:rFonts w:ascii="Arial" w:hAnsi="Arial" w:cs="Arial"/>
          <w:i/>
          <w:color w:val="595959" w:themeColor="text1" w:themeTint="A6"/>
          <w:sz w:val="22"/>
          <w:szCs w:val="22"/>
        </w:rPr>
        <w:t xml:space="preserve">. Cuando un Documento contenga partes o secciones reservadas o confidenciales, los sujetos obligados, para efectos de atender una solicitud de información, deberán elaborar una Versión Pública en la que se testen las partes o secciones clasificadas, indicando su contenido de manera genérica y fundando y motivando su clasificación, de la Ley de Transparencia y Acceso a la Información Pública del Estado de San Luis Potosí; así como en los lineamientos Generales en Materia de la Clasificación y Desclasificación de la Información, así como para la Elaboración de Versiones Públicas en el  </w:t>
      </w:r>
      <w:r w:rsidRPr="00223224">
        <w:rPr>
          <w:rFonts w:ascii="Arial" w:hAnsi="Arial" w:cs="Arial"/>
          <w:i/>
          <w:color w:val="595959" w:themeColor="text1" w:themeTint="A6"/>
          <w:sz w:val="22"/>
          <w:szCs w:val="22"/>
          <w:u w:val="single"/>
        </w:rPr>
        <w:t>Quincuagésimo sexto</w:t>
      </w:r>
      <w:r w:rsidRPr="00223224">
        <w:rPr>
          <w:rFonts w:ascii="Arial" w:hAnsi="Arial" w:cs="Arial"/>
          <w:i/>
          <w:color w:val="595959" w:themeColor="text1" w:themeTint="A6"/>
          <w:sz w:val="22"/>
          <w:szCs w:val="22"/>
        </w:rPr>
        <w:t>, La versión pública del documento o expediente que contenga partes o secciones reservadas o confidenciales, será elaborada por los sujetos obligados, previo pago de los costos de reproducción, a través de sus áreas y deberá ser aprobado por su Comité de Transparencia;</w:t>
      </w:r>
      <w:r w:rsidRPr="00223224">
        <w:rPr>
          <w:rFonts w:ascii="Arial" w:hAnsi="Arial" w:cs="Arial"/>
          <w:i/>
          <w:color w:val="595959" w:themeColor="text1" w:themeTint="A6"/>
          <w:sz w:val="22"/>
          <w:szCs w:val="22"/>
          <w:u w:val="single"/>
        </w:rPr>
        <w:t xml:space="preserve"> Quincuagésimo octavo</w:t>
      </w:r>
      <w:r w:rsidRPr="00223224">
        <w:rPr>
          <w:rFonts w:ascii="Arial" w:hAnsi="Arial" w:cs="Arial"/>
          <w:i/>
          <w:color w:val="595959" w:themeColor="text1" w:themeTint="A6"/>
          <w:sz w:val="22"/>
          <w:szCs w:val="22"/>
        </w:rPr>
        <w:t xml:space="preserve">, Los sujetos obligados garantizan que los sistemas o medios empleados para eliminar la información en las versiones públicas no permitan la recuperación o visualización de la misma; y </w:t>
      </w:r>
      <w:r w:rsidRPr="00223224">
        <w:rPr>
          <w:rFonts w:ascii="Arial" w:hAnsi="Arial" w:cs="Arial"/>
          <w:i/>
          <w:color w:val="595959" w:themeColor="text1" w:themeTint="A6"/>
          <w:sz w:val="22"/>
          <w:szCs w:val="22"/>
          <w:u w:val="single"/>
        </w:rPr>
        <w:t>Quincuagésimo noveno</w:t>
      </w:r>
      <w:r w:rsidRPr="00223224">
        <w:rPr>
          <w:rFonts w:ascii="Arial" w:hAnsi="Arial" w:cs="Arial"/>
          <w:i/>
          <w:color w:val="595959" w:themeColor="text1" w:themeTint="A6"/>
          <w:sz w:val="22"/>
          <w:szCs w:val="22"/>
        </w:rPr>
        <w:t>, En caso de que el documento únicamente se posea en versión pública impresa, deberá fotocopiarse y sobre éste deberán tetarse las palabras, párrafos o renglones que sean clasificados, debiendo anotar al lado del texto omitido, y una referencia numérica tal y como se puede observar en el medio para testar documentos impresos contenido en el Anexo 1 de los Lineamientos. En caso de que sea posible la digitalización del documento, se deberá observar lo establecido en el lineamiento Sexagésimo. La información deberá protegerse con los medios idóneos con que se cuente, de tal forma que no permita la revelación de la información clasificada.</w:t>
      </w:r>
    </w:p>
    <w:p w:rsidR="003679A3" w:rsidRPr="00223224" w:rsidRDefault="003679A3" w:rsidP="003679A3">
      <w:pPr>
        <w:shd w:val="clear" w:color="auto" w:fill="FFFFFF"/>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Esta respuesta encuentra sus fundamentos en los artículos 3° fracción XVIII, 15°, 54° fracciones II y IV, 143° y 154° de la Ley de Transparencia y Acceso a la Información Pública del Estado de San Luis Potosí en vigor.</w:t>
      </w:r>
    </w:p>
    <w:p w:rsidR="003679A3" w:rsidRPr="00223224" w:rsidRDefault="003679A3" w:rsidP="003679A3">
      <w:pPr>
        <w:shd w:val="clear" w:color="auto" w:fill="FFFFFF"/>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 xml:space="preserve">De forma adicional, le indico que tiene a salvo su derecho para inconformarse con la respuesta otorgada a su solicitud, conforme a lo establecido en los artículos 154 último párrafo, 166, 167 y 168 de la Ley de Transparencia y Acceso a la Información Pública del Estado de San Luis Potosí. </w:t>
      </w:r>
    </w:p>
    <w:p w:rsidR="003679A3" w:rsidRPr="00223224" w:rsidRDefault="003679A3" w:rsidP="003679A3">
      <w:pPr>
        <w:autoSpaceDE w:val="0"/>
        <w:autoSpaceDN w:val="0"/>
        <w:adjustRightInd w:val="0"/>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Quedamos a la orden</w:t>
      </w:r>
    </w:p>
    <w:p w:rsidR="003679A3" w:rsidRPr="00223224" w:rsidRDefault="003679A3" w:rsidP="003679A3">
      <w:pPr>
        <w:autoSpaceDE w:val="0"/>
        <w:autoSpaceDN w:val="0"/>
        <w:adjustRightInd w:val="0"/>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MUNICIPIO DE SAN LUIS POTOSI</w:t>
      </w:r>
    </w:p>
    <w:p w:rsidR="003679A3" w:rsidRPr="00223224" w:rsidRDefault="003679A3" w:rsidP="003679A3">
      <w:pPr>
        <w:autoSpaceDE w:val="0"/>
        <w:autoSpaceDN w:val="0"/>
        <w:adjustRightInd w:val="0"/>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(Se adjunta archivo 00003118)</w:t>
      </w:r>
    </w:p>
    <w:p w:rsidR="003679A3" w:rsidRPr="00223224" w:rsidRDefault="003679A3" w:rsidP="003679A3">
      <w:pPr>
        <w:spacing w:line="240" w:lineRule="auto"/>
        <w:ind w:left="709" w:firstLine="708"/>
        <w:rPr>
          <w:rFonts w:ascii="Arial" w:hAnsi="Arial" w:cs="Arial"/>
          <w:i/>
          <w:color w:val="595959" w:themeColor="text1" w:themeTint="A6"/>
          <w:sz w:val="22"/>
          <w:szCs w:val="22"/>
        </w:rPr>
      </w:pPr>
    </w:p>
    <w:p w:rsidR="00935B9B" w:rsidRPr="00223224" w:rsidRDefault="003C3862" w:rsidP="003679A3">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223224">
        <w:rPr>
          <w:rFonts w:ascii="Arial" w:hAnsi="Arial" w:cs="Arial"/>
          <w:color w:val="595959" w:themeColor="text1" w:themeTint="A6"/>
          <w:sz w:val="22"/>
          <w:szCs w:val="22"/>
        </w:rPr>
        <w:tab/>
      </w:r>
    </w:p>
    <w:p w:rsidR="00935B9B" w:rsidRPr="00223224" w:rsidRDefault="00935B9B" w:rsidP="00935B9B">
      <w:pPr>
        <w:spacing w:line="240" w:lineRule="auto"/>
        <w:ind w:left="709" w:hanging="1"/>
        <w:rPr>
          <w:rFonts w:ascii="Arial" w:hAnsi="Arial" w:cs="Arial"/>
          <w:i/>
          <w:color w:val="595959" w:themeColor="text1" w:themeTint="A6"/>
          <w:sz w:val="22"/>
          <w:szCs w:val="22"/>
        </w:rPr>
      </w:pPr>
    </w:p>
    <w:p w:rsidR="00C9337E" w:rsidRPr="00223224" w:rsidRDefault="003679A3" w:rsidP="003679A3">
      <w:pPr>
        <w:pStyle w:val="Textoindependienteprimerasangra"/>
        <w:spacing w:after="0"/>
        <w:ind w:firstLine="708"/>
        <w:rPr>
          <w:rFonts w:ascii="Arial" w:eastAsia="Arial Unicode MS" w:hAnsi="Arial" w:cs="Arial"/>
          <w:color w:val="595959" w:themeColor="text1" w:themeTint="A6"/>
          <w:szCs w:val="26"/>
          <w:lang w:val="es-MX"/>
        </w:rPr>
      </w:pPr>
      <w:r w:rsidRPr="00223224">
        <w:rPr>
          <w:rFonts w:ascii="Arial" w:hAnsi="Arial" w:cs="Arial"/>
          <w:b/>
          <w:color w:val="595959" w:themeColor="text1" w:themeTint="A6"/>
          <w:szCs w:val="26"/>
        </w:rPr>
        <w:lastRenderedPageBreak/>
        <w:t>TERCERO</w:t>
      </w:r>
      <w:r w:rsidR="00547C44" w:rsidRPr="00223224">
        <w:rPr>
          <w:rFonts w:ascii="Arial" w:hAnsi="Arial" w:cs="Arial"/>
          <w:b/>
          <w:color w:val="595959" w:themeColor="text1" w:themeTint="A6"/>
          <w:szCs w:val="26"/>
        </w:rPr>
        <w:t xml:space="preserve">. Interposición del recurso de revisión. </w:t>
      </w:r>
      <w:r w:rsidR="00547C44" w:rsidRPr="00223224">
        <w:rPr>
          <w:rFonts w:ascii="Arial" w:hAnsi="Arial" w:cs="Arial"/>
          <w:color w:val="595959" w:themeColor="text1" w:themeTint="A6"/>
          <w:szCs w:val="26"/>
        </w:rPr>
        <w:t xml:space="preserve">El </w:t>
      </w:r>
      <w:r w:rsidR="00DB3454" w:rsidRPr="00223224">
        <w:rPr>
          <w:rFonts w:ascii="Arial" w:hAnsi="Arial" w:cs="Arial"/>
          <w:b/>
          <w:color w:val="595959" w:themeColor="text1" w:themeTint="A6"/>
          <w:szCs w:val="26"/>
        </w:rPr>
        <w:t>veintitrés</w:t>
      </w:r>
      <w:r w:rsidR="00570B93" w:rsidRPr="00223224">
        <w:rPr>
          <w:rFonts w:ascii="Arial" w:hAnsi="Arial" w:cs="Arial"/>
          <w:b/>
          <w:color w:val="595959" w:themeColor="text1" w:themeTint="A6"/>
          <w:szCs w:val="26"/>
        </w:rPr>
        <w:t xml:space="preserve"> de enero de dos mil dieciocho</w:t>
      </w:r>
      <w:r w:rsidR="00547C44" w:rsidRPr="00223224">
        <w:rPr>
          <w:rFonts w:ascii="Arial" w:hAnsi="Arial" w:cs="Arial"/>
          <w:color w:val="595959" w:themeColor="text1" w:themeTint="A6"/>
          <w:szCs w:val="26"/>
        </w:rPr>
        <w:t>,</w:t>
      </w:r>
      <w:r w:rsidR="00570B93" w:rsidRPr="00223224">
        <w:rPr>
          <w:rFonts w:ascii="Arial" w:hAnsi="Arial" w:cs="Arial"/>
          <w:color w:val="595959" w:themeColor="text1" w:themeTint="A6"/>
          <w:szCs w:val="26"/>
        </w:rPr>
        <w:t xml:space="preserve"> el</w:t>
      </w:r>
      <w:r w:rsidR="00FF4E67" w:rsidRPr="00223224">
        <w:rPr>
          <w:rFonts w:ascii="Arial" w:hAnsi="Arial" w:cs="Arial"/>
          <w:color w:val="595959" w:themeColor="text1" w:themeTint="A6"/>
          <w:szCs w:val="26"/>
        </w:rPr>
        <w:t xml:space="preserve"> recurrente interpuso el presente medio de </w:t>
      </w:r>
      <w:r w:rsidRPr="00223224">
        <w:rPr>
          <w:rFonts w:ascii="Arial" w:hAnsi="Arial" w:cs="Arial"/>
          <w:color w:val="595959" w:themeColor="text1" w:themeTint="A6"/>
          <w:szCs w:val="26"/>
        </w:rPr>
        <w:t>defensa</w:t>
      </w:r>
      <w:r w:rsidR="00FF4E67" w:rsidRPr="00223224">
        <w:rPr>
          <w:rFonts w:ascii="Arial" w:hAnsi="Arial" w:cs="Arial"/>
          <w:color w:val="595959" w:themeColor="text1" w:themeTint="A6"/>
          <w:szCs w:val="26"/>
        </w:rPr>
        <w:t>,</w:t>
      </w:r>
      <w:r w:rsidR="00D02FBD" w:rsidRPr="00223224">
        <w:rPr>
          <w:rFonts w:ascii="Arial" w:hAnsi="Arial" w:cs="Arial"/>
          <w:color w:val="595959" w:themeColor="text1" w:themeTint="A6"/>
          <w:szCs w:val="26"/>
        </w:rPr>
        <w:t xml:space="preserve"> </w:t>
      </w:r>
      <w:r w:rsidR="00662D15" w:rsidRPr="00223224">
        <w:rPr>
          <w:rFonts w:ascii="Arial" w:hAnsi="Arial" w:cs="Arial"/>
          <w:color w:val="595959" w:themeColor="text1" w:themeTint="A6"/>
          <w:szCs w:val="26"/>
        </w:rPr>
        <w:t xml:space="preserve">por </w:t>
      </w:r>
      <w:r w:rsidR="00FF4E67" w:rsidRPr="00223224">
        <w:rPr>
          <w:rFonts w:ascii="Arial" w:hAnsi="Arial" w:cs="Arial"/>
          <w:color w:val="595959" w:themeColor="text1" w:themeTint="A6"/>
          <w:szCs w:val="26"/>
        </w:rPr>
        <w:t xml:space="preserve">el cual </w:t>
      </w:r>
      <w:r w:rsidR="00662D15" w:rsidRPr="00223224">
        <w:rPr>
          <w:rFonts w:ascii="Arial" w:hAnsi="Arial" w:cs="Arial"/>
          <w:color w:val="595959" w:themeColor="text1" w:themeTint="A6"/>
          <w:szCs w:val="26"/>
        </w:rPr>
        <w:t>impugnó</w:t>
      </w:r>
      <w:r w:rsidR="00FF4E67" w:rsidRPr="00223224">
        <w:rPr>
          <w:rFonts w:ascii="Arial" w:hAnsi="Arial" w:cs="Arial"/>
          <w:color w:val="595959" w:themeColor="text1" w:themeTint="A6"/>
          <w:szCs w:val="26"/>
        </w:rPr>
        <w:t xml:space="preserve"> la </w:t>
      </w:r>
      <w:r w:rsidR="00D02FBD" w:rsidRPr="00223224">
        <w:rPr>
          <w:rFonts w:ascii="Arial" w:hAnsi="Arial" w:cs="Arial"/>
          <w:color w:val="595959" w:themeColor="text1" w:themeTint="A6"/>
          <w:szCs w:val="26"/>
        </w:rPr>
        <w:t xml:space="preserve">respuesta </w:t>
      </w:r>
      <w:r w:rsidRPr="00223224">
        <w:rPr>
          <w:rFonts w:ascii="Arial" w:hAnsi="Arial" w:cs="Arial"/>
          <w:color w:val="595959" w:themeColor="text1" w:themeTint="A6"/>
          <w:szCs w:val="26"/>
        </w:rPr>
        <w:t>emitida por el sujeto obligado</w:t>
      </w:r>
      <w:r w:rsidR="00D02FBD" w:rsidRPr="00223224">
        <w:rPr>
          <w:rFonts w:ascii="Arial" w:hAnsi="Arial" w:cs="Arial"/>
          <w:color w:val="595959" w:themeColor="text1" w:themeTint="A6"/>
          <w:szCs w:val="26"/>
        </w:rPr>
        <w:t>.</w:t>
      </w:r>
    </w:p>
    <w:p w:rsidR="00547C44" w:rsidRPr="00223224" w:rsidRDefault="00547C44" w:rsidP="00662D15">
      <w:pPr>
        <w:spacing w:before="240"/>
        <w:rPr>
          <w:rFonts w:ascii="Arial" w:hAnsi="Arial" w:cs="Arial"/>
          <w:color w:val="595959" w:themeColor="text1" w:themeTint="A6"/>
        </w:rPr>
      </w:pPr>
      <w:r w:rsidRPr="00223224">
        <w:rPr>
          <w:rFonts w:ascii="Arial" w:hAnsi="Arial" w:cs="Arial"/>
          <w:color w:val="595959" w:themeColor="text1" w:themeTint="A6"/>
        </w:rPr>
        <w:tab/>
      </w:r>
      <w:r w:rsidR="003679A3" w:rsidRPr="00223224">
        <w:rPr>
          <w:rFonts w:ascii="Arial" w:hAnsi="Arial" w:cs="Arial"/>
          <w:b/>
          <w:color w:val="595959" w:themeColor="text1" w:themeTint="A6"/>
        </w:rPr>
        <w:t>CUARTO</w:t>
      </w:r>
      <w:r w:rsidRPr="00223224">
        <w:rPr>
          <w:rFonts w:ascii="Arial" w:hAnsi="Arial" w:cs="Arial"/>
          <w:b/>
          <w:color w:val="595959" w:themeColor="text1" w:themeTint="A6"/>
        </w:rPr>
        <w:t>. Turno.</w:t>
      </w:r>
      <w:r w:rsidRPr="00223224">
        <w:rPr>
          <w:rFonts w:ascii="Arial" w:hAnsi="Arial" w:cs="Arial"/>
          <w:color w:val="595959" w:themeColor="text1" w:themeTint="A6"/>
        </w:rPr>
        <w:t xml:space="preserve"> De conformidad con el artículo 174, fracción I</w:t>
      </w:r>
      <w:r w:rsidR="005F332C" w:rsidRPr="00223224">
        <w:rPr>
          <w:rFonts w:ascii="Arial" w:hAnsi="Arial" w:cs="Arial"/>
          <w:color w:val="595959" w:themeColor="text1" w:themeTint="A6"/>
        </w:rPr>
        <w:t>,</w:t>
      </w:r>
      <w:r w:rsidRPr="00223224">
        <w:rPr>
          <w:rFonts w:ascii="Arial" w:hAnsi="Arial" w:cs="Arial"/>
          <w:color w:val="595959" w:themeColor="text1" w:themeTint="A6"/>
        </w:rPr>
        <w:t xml:space="preserve"> de la Ley de Transparencia y Acceso a la Información Pública del Estado, el recurso de revisión R</w:t>
      </w:r>
      <w:r w:rsidR="00570B93" w:rsidRPr="00223224">
        <w:rPr>
          <w:rFonts w:ascii="Arial" w:hAnsi="Arial" w:cs="Arial"/>
          <w:color w:val="595959" w:themeColor="text1" w:themeTint="A6"/>
        </w:rPr>
        <w:t>R-</w:t>
      </w:r>
      <w:r w:rsidR="003679A3" w:rsidRPr="00223224">
        <w:rPr>
          <w:rFonts w:ascii="Arial" w:hAnsi="Arial" w:cs="Arial"/>
          <w:color w:val="595959" w:themeColor="text1" w:themeTint="A6"/>
        </w:rPr>
        <w:t>48</w:t>
      </w:r>
      <w:r w:rsidR="00D02FBD" w:rsidRPr="00223224">
        <w:rPr>
          <w:rFonts w:ascii="Arial" w:hAnsi="Arial" w:cs="Arial"/>
          <w:color w:val="595959" w:themeColor="text1" w:themeTint="A6"/>
        </w:rPr>
        <w:t>/2018</w:t>
      </w:r>
      <w:r w:rsidRPr="00223224">
        <w:rPr>
          <w:rFonts w:ascii="Arial" w:hAnsi="Arial" w:cs="Arial"/>
          <w:color w:val="595959" w:themeColor="text1" w:themeTint="A6"/>
        </w:rPr>
        <w:t>-3 fue t</w:t>
      </w:r>
      <w:r w:rsidR="00013C06" w:rsidRPr="00223224">
        <w:rPr>
          <w:rFonts w:ascii="Arial" w:hAnsi="Arial" w:cs="Arial"/>
          <w:color w:val="595959" w:themeColor="text1" w:themeTint="A6"/>
        </w:rPr>
        <w:t>urnado a la Comisionada Ponente</w:t>
      </w:r>
      <w:r w:rsidRPr="00223224">
        <w:rPr>
          <w:rFonts w:ascii="Arial" w:hAnsi="Arial" w:cs="Arial"/>
          <w:color w:val="595959" w:themeColor="text1" w:themeTint="A6"/>
        </w:rPr>
        <w:t xml:space="preserve"> para que sustanciara el periodo de instrucción, y en su momento presentara al Pleno el proyecto de resolución correspondiente.</w:t>
      </w:r>
    </w:p>
    <w:p w:rsidR="00547C44" w:rsidRPr="00223224" w:rsidRDefault="00547C44" w:rsidP="00033326">
      <w:pPr>
        <w:spacing w:before="240" w:after="240"/>
        <w:rPr>
          <w:rFonts w:ascii="Arial" w:hAnsi="Arial" w:cs="Arial"/>
          <w:color w:val="595959" w:themeColor="text1" w:themeTint="A6"/>
        </w:rPr>
      </w:pPr>
      <w:r w:rsidRPr="00223224">
        <w:rPr>
          <w:rFonts w:ascii="Arial" w:hAnsi="Arial" w:cs="Arial"/>
          <w:b/>
          <w:color w:val="595959" w:themeColor="text1" w:themeTint="A6"/>
        </w:rPr>
        <w:tab/>
      </w:r>
      <w:r w:rsidR="0020477D" w:rsidRPr="00223224">
        <w:rPr>
          <w:rFonts w:ascii="Arial" w:hAnsi="Arial" w:cs="Arial"/>
          <w:b/>
          <w:color w:val="595959" w:themeColor="text1" w:themeTint="A6"/>
        </w:rPr>
        <w:t>QUINTO</w:t>
      </w:r>
      <w:r w:rsidRPr="00223224">
        <w:rPr>
          <w:rFonts w:ascii="Arial" w:hAnsi="Arial" w:cs="Arial"/>
          <w:b/>
          <w:color w:val="595959" w:themeColor="text1" w:themeTint="A6"/>
        </w:rPr>
        <w:t xml:space="preserve">. Admisión. </w:t>
      </w:r>
      <w:r w:rsidRPr="00223224">
        <w:rPr>
          <w:rFonts w:ascii="Arial" w:hAnsi="Arial" w:cs="Arial"/>
          <w:color w:val="595959" w:themeColor="text1" w:themeTint="A6"/>
        </w:rPr>
        <w:t xml:space="preserve">El </w:t>
      </w:r>
      <w:r w:rsidR="00DB3454" w:rsidRPr="00223224">
        <w:rPr>
          <w:rFonts w:ascii="Arial" w:hAnsi="Arial" w:cs="Arial"/>
          <w:b/>
          <w:color w:val="595959" w:themeColor="text1" w:themeTint="A6"/>
        </w:rPr>
        <w:t>veintinueve</w:t>
      </w:r>
      <w:r w:rsidR="00FE16C1" w:rsidRPr="00223224">
        <w:rPr>
          <w:rFonts w:ascii="Arial" w:hAnsi="Arial" w:cs="Arial"/>
          <w:b/>
          <w:color w:val="595959" w:themeColor="text1" w:themeTint="A6"/>
        </w:rPr>
        <w:t xml:space="preserve"> de </w:t>
      </w:r>
      <w:r w:rsidR="00D02FBD" w:rsidRPr="00223224">
        <w:rPr>
          <w:rFonts w:ascii="Arial" w:hAnsi="Arial" w:cs="Arial"/>
          <w:b/>
          <w:color w:val="595959" w:themeColor="text1" w:themeTint="A6"/>
        </w:rPr>
        <w:t>enero</w:t>
      </w:r>
      <w:r w:rsidR="00033326" w:rsidRPr="00223224">
        <w:rPr>
          <w:rFonts w:ascii="Arial" w:hAnsi="Arial" w:cs="Arial"/>
          <w:b/>
          <w:color w:val="595959" w:themeColor="text1" w:themeTint="A6"/>
        </w:rPr>
        <w:t xml:space="preserve"> de dos mil </w:t>
      </w:r>
      <w:r w:rsidR="00D02FBD" w:rsidRPr="00223224">
        <w:rPr>
          <w:rFonts w:ascii="Arial" w:hAnsi="Arial" w:cs="Arial"/>
          <w:b/>
          <w:color w:val="595959" w:themeColor="text1" w:themeTint="A6"/>
        </w:rPr>
        <w:t>dieciocho</w:t>
      </w:r>
      <w:r w:rsidRPr="00223224">
        <w:rPr>
          <w:rFonts w:ascii="Arial" w:hAnsi="Arial" w:cs="Arial"/>
          <w:color w:val="595959" w:themeColor="text1" w:themeTint="A6"/>
        </w:rPr>
        <w:t>, esta Comisión, con base en el artículo 174, fracción II</w:t>
      </w:r>
      <w:r w:rsidR="00424DB5" w:rsidRPr="00223224">
        <w:rPr>
          <w:rFonts w:ascii="Arial" w:hAnsi="Arial" w:cs="Arial"/>
          <w:color w:val="595959" w:themeColor="text1" w:themeTint="A6"/>
        </w:rPr>
        <w:t>,</w:t>
      </w:r>
      <w:r w:rsidRPr="00223224">
        <w:rPr>
          <w:rFonts w:ascii="Arial" w:hAnsi="Arial" w:cs="Arial"/>
          <w:color w:val="595959" w:themeColor="text1" w:themeTint="A6"/>
        </w:rPr>
        <w:t xml:space="preserve">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A33AA" w:rsidRPr="00223224" w:rsidRDefault="00547C44" w:rsidP="00AE265B">
      <w:pPr>
        <w:rPr>
          <w:rFonts w:ascii="Arial" w:hAnsi="Arial" w:cs="Arial"/>
          <w:color w:val="595959" w:themeColor="text1" w:themeTint="A6"/>
        </w:rPr>
      </w:pPr>
      <w:r w:rsidRPr="00223224">
        <w:rPr>
          <w:rFonts w:ascii="Arial" w:hAnsi="Arial" w:cs="Arial"/>
          <w:b/>
          <w:color w:val="595959" w:themeColor="text1" w:themeTint="A6"/>
        </w:rPr>
        <w:tab/>
      </w:r>
      <w:r w:rsidR="0020477D" w:rsidRPr="00223224">
        <w:rPr>
          <w:rFonts w:ascii="Arial" w:hAnsi="Arial" w:cs="Arial"/>
          <w:b/>
          <w:color w:val="595959" w:themeColor="text1" w:themeTint="A6"/>
        </w:rPr>
        <w:t>SEXTO</w:t>
      </w:r>
      <w:r w:rsidRPr="00223224">
        <w:rPr>
          <w:rFonts w:ascii="Arial" w:hAnsi="Arial" w:cs="Arial"/>
          <w:b/>
          <w:color w:val="595959" w:themeColor="text1" w:themeTint="A6"/>
        </w:rPr>
        <w:t xml:space="preserve">. </w:t>
      </w:r>
      <w:r w:rsidR="00457939" w:rsidRPr="00223224">
        <w:rPr>
          <w:rFonts w:ascii="Arial" w:hAnsi="Arial" w:cs="Arial"/>
          <w:b/>
          <w:color w:val="595959" w:themeColor="text1" w:themeTint="A6"/>
        </w:rPr>
        <w:t>Manifestaciones de las partes</w:t>
      </w:r>
      <w:r w:rsidRPr="00223224">
        <w:rPr>
          <w:rFonts w:ascii="Arial" w:hAnsi="Arial" w:cs="Arial"/>
          <w:b/>
          <w:color w:val="595959" w:themeColor="text1" w:themeTint="A6"/>
        </w:rPr>
        <w:t xml:space="preserve">. </w:t>
      </w:r>
      <w:r w:rsidRPr="00223224">
        <w:rPr>
          <w:rFonts w:ascii="Arial" w:hAnsi="Arial" w:cs="Arial"/>
          <w:color w:val="595959" w:themeColor="text1" w:themeTint="A6"/>
        </w:rPr>
        <w:t xml:space="preserve">El </w:t>
      </w:r>
      <w:r w:rsidR="00DB3454" w:rsidRPr="00223224">
        <w:rPr>
          <w:rFonts w:ascii="Arial" w:hAnsi="Arial" w:cs="Arial"/>
          <w:b/>
          <w:color w:val="595959" w:themeColor="text1" w:themeTint="A6"/>
        </w:rPr>
        <w:t>dieciséis</w:t>
      </w:r>
      <w:r w:rsidR="00D02FBD" w:rsidRPr="00223224">
        <w:rPr>
          <w:rFonts w:ascii="Arial" w:hAnsi="Arial" w:cs="Arial"/>
          <w:b/>
          <w:color w:val="595959" w:themeColor="text1" w:themeTint="A6"/>
        </w:rPr>
        <w:t xml:space="preserve"> de febrero</w:t>
      </w:r>
      <w:r w:rsidR="00935B9B" w:rsidRPr="00223224">
        <w:rPr>
          <w:rFonts w:ascii="Arial" w:hAnsi="Arial" w:cs="Arial"/>
          <w:b/>
          <w:color w:val="595959" w:themeColor="text1" w:themeTint="A6"/>
        </w:rPr>
        <w:t xml:space="preserve"> de dos mil dieciocho</w:t>
      </w:r>
      <w:r w:rsidRPr="00223224">
        <w:rPr>
          <w:rFonts w:ascii="Arial" w:hAnsi="Arial" w:cs="Arial"/>
          <w:color w:val="595959" w:themeColor="text1" w:themeTint="A6"/>
        </w:rPr>
        <w:t>, se emitió un acuerdo po</w:t>
      </w:r>
      <w:r w:rsidR="00C9337E" w:rsidRPr="00223224">
        <w:rPr>
          <w:rFonts w:ascii="Arial" w:hAnsi="Arial" w:cs="Arial"/>
          <w:color w:val="595959" w:themeColor="text1" w:themeTint="A6"/>
        </w:rPr>
        <w:t>r el cual se tuvo por recibido</w:t>
      </w:r>
      <w:r w:rsidR="00E76911" w:rsidRPr="00223224">
        <w:rPr>
          <w:rFonts w:ascii="Arial" w:hAnsi="Arial" w:cs="Arial"/>
          <w:color w:val="595959" w:themeColor="text1" w:themeTint="A6"/>
        </w:rPr>
        <w:t xml:space="preserve"> el escrito signado por </w:t>
      </w:r>
      <w:r w:rsidR="0020477D" w:rsidRPr="00223224">
        <w:rPr>
          <w:rFonts w:ascii="Arial" w:hAnsi="Arial" w:cs="Arial"/>
          <w:color w:val="595959" w:themeColor="text1" w:themeTint="A6"/>
        </w:rPr>
        <w:t>la Encargada de Despacho de la Unidad de Transparencia</w:t>
      </w:r>
      <w:r w:rsidR="00570B93" w:rsidRPr="00223224">
        <w:rPr>
          <w:rFonts w:ascii="Arial" w:hAnsi="Arial" w:cs="Arial"/>
          <w:color w:val="595959" w:themeColor="text1" w:themeTint="A6"/>
        </w:rPr>
        <w:t>, mismas que se recibieron en tiempo acorde a la</w:t>
      </w:r>
      <w:r w:rsidR="0020477D" w:rsidRPr="00223224">
        <w:rPr>
          <w:rFonts w:ascii="Arial" w:hAnsi="Arial" w:cs="Arial"/>
          <w:color w:val="595959" w:themeColor="text1" w:themeTint="A6"/>
        </w:rPr>
        <w:t xml:space="preserve"> certificación que obra a foja 59</w:t>
      </w:r>
      <w:r w:rsidR="00570B93" w:rsidRPr="00223224">
        <w:rPr>
          <w:rFonts w:ascii="Arial" w:hAnsi="Arial" w:cs="Arial"/>
          <w:color w:val="595959" w:themeColor="text1" w:themeTint="A6"/>
        </w:rPr>
        <w:t xml:space="preserve"> del presente sumario.</w:t>
      </w:r>
    </w:p>
    <w:p w:rsidR="00547C44" w:rsidRPr="00223224" w:rsidRDefault="00547C44" w:rsidP="00A64E84">
      <w:pPr>
        <w:spacing w:before="240"/>
        <w:rPr>
          <w:rFonts w:ascii="Arial" w:hAnsi="Arial" w:cs="Arial"/>
          <w:color w:val="595959" w:themeColor="text1" w:themeTint="A6"/>
        </w:rPr>
      </w:pPr>
      <w:r w:rsidRPr="00223224">
        <w:rPr>
          <w:rFonts w:ascii="Arial" w:hAnsi="Arial" w:cs="Arial"/>
          <w:color w:val="595959" w:themeColor="text1" w:themeTint="A6"/>
        </w:rPr>
        <w:tab/>
        <w:t xml:space="preserve">Por lo que toca al </w:t>
      </w:r>
      <w:r w:rsidR="00545919" w:rsidRPr="00223224">
        <w:rPr>
          <w:rFonts w:ascii="Arial" w:hAnsi="Arial" w:cs="Arial"/>
          <w:color w:val="595959" w:themeColor="text1" w:themeTint="A6"/>
        </w:rPr>
        <w:t>inconforme</w:t>
      </w:r>
      <w:r w:rsidRPr="00223224">
        <w:rPr>
          <w:rFonts w:ascii="Arial" w:hAnsi="Arial" w:cs="Arial"/>
          <w:color w:val="595959" w:themeColor="text1" w:themeTint="A6"/>
        </w:rPr>
        <w:t>, éste no hizo uso de su derecho contenido en el artículo 174, fracción III</w:t>
      </w:r>
      <w:r w:rsidR="00935B9B" w:rsidRPr="00223224">
        <w:rPr>
          <w:rFonts w:ascii="Arial" w:hAnsi="Arial" w:cs="Arial"/>
          <w:color w:val="595959" w:themeColor="text1" w:themeTint="A6"/>
        </w:rPr>
        <w:t>,</w:t>
      </w:r>
      <w:r w:rsidRPr="00223224">
        <w:rPr>
          <w:rFonts w:ascii="Arial" w:hAnsi="Arial" w:cs="Arial"/>
          <w:color w:val="595959" w:themeColor="text1" w:themeTint="A6"/>
        </w:rPr>
        <w:t xml:space="preserve"> de la Ley de Transparencia del Estado.</w:t>
      </w:r>
    </w:p>
    <w:p w:rsidR="003C3862" w:rsidRPr="00223224" w:rsidRDefault="00547C44" w:rsidP="00547C44">
      <w:pPr>
        <w:spacing w:before="240"/>
        <w:rPr>
          <w:rFonts w:ascii="Arial" w:hAnsi="Arial" w:cs="Arial"/>
          <w:color w:val="595959" w:themeColor="text1" w:themeTint="A6"/>
        </w:rPr>
      </w:pPr>
      <w:r w:rsidRPr="00223224">
        <w:rPr>
          <w:rFonts w:ascii="Arial" w:hAnsi="Arial" w:cs="Arial"/>
          <w:color w:val="595959" w:themeColor="text1" w:themeTint="A6"/>
        </w:rPr>
        <w:tab/>
      </w:r>
      <w:r w:rsidR="0020477D" w:rsidRPr="00223224">
        <w:rPr>
          <w:rFonts w:ascii="Arial" w:hAnsi="Arial" w:cs="Arial"/>
          <w:b/>
          <w:color w:val="595959" w:themeColor="text1" w:themeTint="A6"/>
        </w:rPr>
        <w:t>SÉPTIMO</w:t>
      </w:r>
      <w:r w:rsidRPr="00223224">
        <w:rPr>
          <w:rFonts w:ascii="Arial" w:hAnsi="Arial" w:cs="Arial"/>
          <w:b/>
          <w:color w:val="595959" w:themeColor="text1" w:themeTint="A6"/>
        </w:rPr>
        <w:t xml:space="preserve">. Cierre de Instrucción. </w:t>
      </w:r>
      <w:r w:rsidRPr="00223224">
        <w:rPr>
          <w:rFonts w:ascii="Arial" w:hAnsi="Arial" w:cs="Arial"/>
          <w:color w:val="595959" w:themeColor="text1" w:themeTint="A6"/>
        </w:rPr>
        <w:t xml:space="preserve">El </w:t>
      </w:r>
      <w:r w:rsidR="00DB3454" w:rsidRPr="00223224">
        <w:rPr>
          <w:rFonts w:ascii="Arial" w:hAnsi="Arial" w:cs="Arial"/>
          <w:b/>
          <w:color w:val="595959" w:themeColor="text1" w:themeTint="A6"/>
        </w:rPr>
        <w:t>dieciséis</w:t>
      </w:r>
      <w:r w:rsidR="00D02FBD" w:rsidRPr="00223224">
        <w:rPr>
          <w:rFonts w:ascii="Arial" w:hAnsi="Arial" w:cs="Arial"/>
          <w:b/>
          <w:color w:val="595959" w:themeColor="text1" w:themeTint="A6"/>
        </w:rPr>
        <w:t xml:space="preserve"> de febrero</w:t>
      </w:r>
      <w:r w:rsidR="00935B9B" w:rsidRPr="00223224">
        <w:rPr>
          <w:rFonts w:ascii="Arial" w:hAnsi="Arial" w:cs="Arial"/>
          <w:b/>
          <w:color w:val="595959" w:themeColor="text1" w:themeTint="A6"/>
        </w:rPr>
        <w:t xml:space="preserve"> de dos mil dieciocho</w:t>
      </w:r>
      <w:r w:rsidRPr="00223224">
        <w:rPr>
          <w:rFonts w:ascii="Arial" w:hAnsi="Arial" w:cs="Arial"/>
          <w:color w:val="595959" w:themeColor="text1" w:themeTint="A6"/>
        </w:rPr>
        <w:t>, se decretó el Cierre de Instrucción del expediente formado con motivo del presente recurso de revisión, a fin de que la ponente presentara el proyecto de resolución correspondiente.</w:t>
      </w:r>
    </w:p>
    <w:p w:rsidR="00547C44" w:rsidRPr="00223224" w:rsidRDefault="00547C44" w:rsidP="00547C44">
      <w:pPr>
        <w:spacing w:before="240"/>
        <w:jc w:val="center"/>
        <w:rPr>
          <w:rFonts w:ascii="Arial" w:hAnsi="Arial" w:cs="Arial"/>
          <w:b/>
          <w:color w:val="595959" w:themeColor="text1" w:themeTint="A6"/>
        </w:rPr>
      </w:pPr>
      <w:r w:rsidRPr="00223224">
        <w:rPr>
          <w:rFonts w:ascii="Arial" w:hAnsi="Arial" w:cs="Arial"/>
          <w:b/>
          <w:color w:val="595959" w:themeColor="text1" w:themeTint="A6"/>
        </w:rPr>
        <w:t xml:space="preserve">C O N S I D E R A N D O </w:t>
      </w:r>
    </w:p>
    <w:p w:rsidR="0072714A" w:rsidRPr="00223224" w:rsidRDefault="00547C44" w:rsidP="00545919">
      <w:pPr>
        <w:pStyle w:val="Textoindependienteprimerasangra"/>
        <w:spacing w:before="240"/>
        <w:ind w:firstLine="900"/>
        <w:rPr>
          <w:rFonts w:ascii="Arial" w:hAnsi="Arial" w:cs="Arial"/>
          <w:color w:val="595959" w:themeColor="text1" w:themeTint="A6"/>
        </w:rPr>
      </w:pPr>
      <w:r w:rsidRPr="00223224">
        <w:rPr>
          <w:rFonts w:ascii="Arial" w:eastAsia="Arial Unicode MS" w:hAnsi="Arial" w:cs="Arial"/>
          <w:b/>
          <w:color w:val="595959" w:themeColor="text1" w:themeTint="A6"/>
        </w:rPr>
        <w:lastRenderedPageBreak/>
        <w:t>PRIMERO. Competencia.</w:t>
      </w:r>
      <w:r w:rsidRPr="00223224">
        <w:rPr>
          <w:rFonts w:ascii="Arial" w:eastAsia="Arial Unicode MS" w:hAnsi="Arial" w:cs="Arial"/>
          <w:color w:val="595959" w:themeColor="text1" w:themeTint="A6"/>
        </w:rPr>
        <w:t xml:space="preserve"> El Pleno de esta Comisión Estatal de Garantía de Acceso a la Información Pública es competente para resolver el presente recurso de revisión de conformidad con los artículos 6°, apartado A., fracción IV</w:t>
      </w:r>
      <w:r w:rsidR="00424DB5" w:rsidRPr="00223224">
        <w:rPr>
          <w:rFonts w:ascii="Arial" w:eastAsia="Arial Unicode MS" w:hAnsi="Arial" w:cs="Arial"/>
          <w:color w:val="595959" w:themeColor="text1" w:themeTint="A6"/>
        </w:rPr>
        <w:t>,</w:t>
      </w:r>
      <w:r w:rsidRPr="00223224">
        <w:rPr>
          <w:rFonts w:ascii="Arial" w:eastAsia="Arial Unicode MS" w:hAnsi="Arial" w:cs="Arial"/>
          <w:color w:val="595959" w:themeColor="text1" w:themeTint="A6"/>
        </w:rPr>
        <w:t xml:space="preserve"> de la Constitución Política de los Estados Unidos Mexicanos; 17, fracción III, párrafo tercero</w:t>
      </w:r>
      <w:r w:rsidR="00424DB5" w:rsidRPr="00223224">
        <w:rPr>
          <w:rFonts w:ascii="Arial" w:eastAsia="Arial Unicode MS" w:hAnsi="Arial" w:cs="Arial"/>
          <w:color w:val="595959" w:themeColor="text1" w:themeTint="A6"/>
        </w:rPr>
        <w:t>,</w:t>
      </w:r>
      <w:r w:rsidRPr="00223224">
        <w:rPr>
          <w:rFonts w:ascii="Arial" w:eastAsia="Arial Unicode MS" w:hAnsi="Arial" w:cs="Arial"/>
          <w:color w:val="595959" w:themeColor="text1" w:themeTint="A6"/>
        </w:rPr>
        <w:t xml:space="preserve"> de la Constitución Política del Estado Libre y Soberano de San Luis Po</w:t>
      </w:r>
      <w:r w:rsidR="00424DB5" w:rsidRPr="00223224">
        <w:rPr>
          <w:rFonts w:ascii="Arial" w:eastAsia="Arial Unicode MS" w:hAnsi="Arial" w:cs="Arial"/>
          <w:color w:val="595959" w:themeColor="text1" w:themeTint="A6"/>
        </w:rPr>
        <w:t>tosí; 37, 42, fracciones I y II;</w:t>
      </w:r>
      <w:r w:rsidRPr="00223224">
        <w:rPr>
          <w:rFonts w:ascii="Arial" w:eastAsia="Arial Unicode MS" w:hAnsi="Arial" w:cs="Arial"/>
          <w:color w:val="595959" w:themeColor="text1" w:themeTint="A6"/>
        </w:rPr>
        <w:t xml:space="preserve"> 142 y 151 de la Ley General de Transparencia y Acceso a la Información Púb</w:t>
      </w:r>
      <w:r w:rsidR="00424DB5" w:rsidRPr="00223224">
        <w:rPr>
          <w:rFonts w:ascii="Arial" w:eastAsia="Arial Unicode MS" w:hAnsi="Arial" w:cs="Arial"/>
          <w:color w:val="595959" w:themeColor="text1" w:themeTint="A6"/>
        </w:rPr>
        <w:t>lica; 27, 34, fracciones I y II;</w:t>
      </w:r>
      <w:r w:rsidRPr="00223224">
        <w:rPr>
          <w:rFonts w:ascii="Arial" w:eastAsia="Arial Unicode MS" w:hAnsi="Arial" w:cs="Arial"/>
          <w:color w:val="595959" w:themeColor="text1" w:themeTint="A6"/>
        </w:rPr>
        <w:t xml:space="preserve"> 166 y 175 de la Ley de Transparencia y Acceso a la Información Pública del Estado de San Luis potosí, así</w:t>
      </w:r>
      <w:r w:rsidR="00FA039E" w:rsidRPr="00223224">
        <w:rPr>
          <w:rFonts w:ascii="Arial" w:eastAsia="Arial Unicode MS" w:hAnsi="Arial" w:cs="Arial"/>
          <w:color w:val="595959" w:themeColor="text1" w:themeTint="A6"/>
        </w:rPr>
        <w:t xml:space="preserve"> como</w:t>
      </w:r>
      <w:r w:rsidRPr="00223224">
        <w:rPr>
          <w:rFonts w:ascii="Arial" w:eastAsia="Arial Unicode MS" w:hAnsi="Arial" w:cs="Arial"/>
          <w:color w:val="595959" w:themeColor="text1" w:themeTint="A6"/>
        </w:rPr>
        <w:t xml:space="preserve"> de los artículos 1, 2, 4</w:t>
      </w:r>
      <w:r w:rsidR="00424DB5" w:rsidRPr="00223224">
        <w:rPr>
          <w:rFonts w:ascii="Arial" w:eastAsia="Arial Unicode MS" w:hAnsi="Arial" w:cs="Arial"/>
          <w:color w:val="595959" w:themeColor="text1" w:themeTint="A6"/>
        </w:rPr>
        <w:t>, fracción IV;</w:t>
      </w:r>
      <w:r w:rsidRPr="00223224">
        <w:rPr>
          <w:rFonts w:ascii="Arial" w:eastAsia="Arial Unicode MS" w:hAnsi="Arial" w:cs="Arial"/>
          <w:color w:val="595959" w:themeColor="text1" w:themeTint="A6"/>
        </w:rPr>
        <w:t xml:space="preserve"> 6 fracciones I y II; 7, 9 y 10</w:t>
      </w:r>
      <w:r w:rsidR="00424DB5" w:rsidRPr="00223224">
        <w:rPr>
          <w:rFonts w:ascii="Arial" w:eastAsia="Arial Unicode MS" w:hAnsi="Arial" w:cs="Arial"/>
          <w:color w:val="595959" w:themeColor="text1" w:themeTint="A6"/>
        </w:rPr>
        <w:t>,</w:t>
      </w:r>
      <w:r w:rsidRPr="00223224">
        <w:rPr>
          <w:rFonts w:ascii="Arial" w:eastAsia="Arial Unicode MS" w:hAnsi="Arial" w:cs="Arial"/>
          <w:color w:val="595959" w:themeColor="text1" w:themeTint="A6"/>
        </w:rPr>
        <w:t xml:space="preserve"> fracción XXVIII</w:t>
      </w:r>
      <w:r w:rsidR="00424DB5" w:rsidRPr="00223224">
        <w:rPr>
          <w:rFonts w:ascii="Arial" w:eastAsia="Arial Unicode MS" w:hAnsi="Arial" w:cs="Arial"/>
          <w:color w:val="595959" w:themeColor="text1" w:themeTint="A6"/>
        </w:rPr>
        <w:t>,</w:t>
      </w:r>
      <w:r w:rsidRPr="00223224">
        <w:rPr>
          <w:rFonts w:ascii="Arial" w:eastAsia="Arial Unicode MS" w:hAnsi="Arial" w:cs="Arial"/>
          <w:color w:val="595959" w:themeColor="text1" w:themeTint="A6"/>
        </w:rPr>
        <w:t xml:space="preserve"> del Reglamento Interior de la Comisión Estatal de Garantía de A</w:t>
      </w:r>
      <w:r w:rsidR="007D4729" w:rsidRPr="00223224">
        <w:rPr>
          <w:rFonts w:ascii="Arial" w:eastAsia="Arial Unicode MS" w:hAnsi="Arial" w:cs="Arial"/>
          <w:color w:val="595959" w:themeColor="text1" w:themeTint="A6"/>
        </w:rPr>
        <w:t>cceso a la Información Pública</w:t>
      </w:r>
      <w:r w:rsidR="00545919" w:rsidRPr="00223224">
        <w:rPr>
          <w:rFonts w:ascii="Arial" w:eastAsia="Arial Unicode MS" w:hAnsi="Arial" w:cs="Arial"/>
          <w:color w:val="595959" w:themeColor="text1" w:themeTint="A6"/>
        </w:rPr>
        <w:t>.</w:t>
      </w:r>
    </w:p>
    <w:p w:rsidR="0020477D" w:rsidRPr="00223224" w:rsidRDefault="0020477D" w:rsidP="0020477D">
      <w:pPr>
        <w:pStyle w:val="Textoindependienteprimerasangra"/>
        <w:spacing w:before="240"/>
        <w:ind w:firstLine="900"/>
        <w:rPr>
          <w:rFonts w:ascii="Arial" w:eastAsia="Arial Unicode MS" w:hAnsi="Arial" w:cs="Arial"/>
          <w:color w:val="595959" w:themeColor="text1" w:themeTint="A6"/>
        </w:rPr>
      </w:pPr>
      <w:r w:rsidRPr="00223224">
        <w:rPr>
          <w:rFonts w:ascii="Arial" w:eastAsia="Arial Unicode MS" w:hAnsi="Arial" w:cs="Arial"/>
          <w:b/>
          <w:color w:val="595959" w:themeColor="text1" w:themeTint="A6"/>
        </w:rPr>
        <w:t>SEGUNDO. Procedibilidad y Oportunidad.</w:t>
      </w:r>
      <w:r w:rsidRPr="00223224">
        <w:rPr>
          <w:rFonts w:ascii="Arial" w:eastAsia="Arial Unicode MS" w:hAnsi="Arial" w:cs="Arial"/>
          <w:color w:val="595959" w:themeColor="text1" w:themeTint="A6"/>
        </w:rPr>
        <w:t xml:space="preserve"> 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20477D" w:rsidRPr="00223224" w:rsidRDefault="0020477D" w:rsidP="0020477D">
      <w:pPr>
        <w:pStyle w:val="Textoindependienteprimerasangra"/>
        <w:spacing w:before="240"/>
        <w:ind w:firstLine="900"/>
        <w:rPr>
          <w:rFonts w:ascii="Arial" w:eastAsia="Arial Unicode MS" w:hAnsi="Arial" w:cs="Arial"/>
          <w:color w:val="595959" w:themeColor="text1" w:themeTint="A6"/>
        </w:rPr>
      </w:pPr>
      <w:r w:rsidRPr="00223224">
        <w:rPr>
          <w:rFonts w:ascii="Arial" w:eastAsia="Arial Unicode MS" w:hAnsi="Arial" w:cs="Arial"/>
          <w:color w:val="595959" w:themeColor="text1" w:themeTint="A6"/>
        </w:rPr>
        <w:t xml:space="preserve">El recurso de revisión fue interpuesto dentro del plazo de quince días hábiles previsto en el artículo 166 de la Ley de Transparencia del Estado, toda vez que el sujeto obligado notificó su respuesta el </w:t>
      </w:r>
      <w:r w:rsidRPr="00223224">
        <w:rPr>
          <w:rFonts w:ascii="Arial" w:eastAsia="Arial Unicode MS" w:hAnsi="Arial" w:cs="Arial"/>
          <w:b/>
          <w:color w:val="595959" w:themeColor="text1" w:themeTint="A6"/>
        </w:rPr>
        <w:t>veintidós de enero de dos mil dieciocho</w:t>
      </w:r>
      <w:r w:rsidRPr="00223224">
        <w:rPr>
          <w:rFonts w:ascii="Arial" w:hAnsi="Arial" w:cs="Arial"/>
          <w:color w:val="595959" w:themeColor="text1" w:themeTint="A6"/>
          <w:lang w:val="es-MX"/>
        </w:rPr>
        <w:t xml:space="preserve">; resulta entonces que al ser interpuesto el presente medio de defensa el </w:t>
      </w:r>
      <w:r w:rsidRPr="00223224">
        <w:rPr>
          <w:rFonts w:ascii="Arial" w:hAnsi="Arial" w:cs="Arial"/>
          <w:b/>
          <w:color w:val="595959" w:themeColor="text1" w:themeTint="A6"/>
          <w:lang w:val="es-MX"/>
        </w:rPr>
        <w:t>veintitrés de enero de dos mil dieciocho</w:t>
      </w:r>
      <w:r w:rsidRPr="00223224">
        <w:rPr>
          <w:rFonts w:ascii="Arial" w:hAnsi="Arial" w:cs="Arial"/>
          <w:color w:val="595959" w:themeColor="text1" w:themeTint="A6"/>
          <w:lang w:val="es-MX"/>
        </w:rPr>
        <w:t xml:space="preserve">, se hizo valer al </w:t>
      </w:r>
      <w:r w:rsidRPr="00223224">
        <w:rPr>
          <w:rFonts w:ascii="Arial" w:hAnsi="Arial" w:cs="Arial"/>
          <w:b/>
          <w:color w:val="595959" w:themeColor="text1" w:themeTint="A6"/>
          <w:lang w:val="es-MX"/>
        </w:rPr>
        <w:t>primer</w:t>
      </w:r>
      <w:r w:rsidRPr="00223224">
        <w:rPr>
          <w:rFonts w:ascii="Arial" w:hAnsi="Arial" w:cs="Arial"/>
          <w:color w:val="595959" w:themeColor="text1" w:themeTint="A6"/>
          <w:lang w:val="es-MX"/>
        </w:rPr>
        <w:t xml:space="preserve"> </w:t>
      </w:r>
      <w:r w:rsidRPr="00223224">
        <w:rPr>
          <w:rFonts w:ascii="Arial" w:hAnsi="Arial" w:cs="Arial"/>
          <w:b/>
          <w:color w:val="595959" w:themeColor="text1" w:themeTint="A6"/>
          <w:lang w:val="es-MX"/>
        </w:rPr>
        <w:t>día</w:t>
      </w:r>
      <w:r w:rsidRPr="00223224">
        <w:rPr>
          <w:rFonts w:ascii="Arial" w:hAnsi="Arial" w:cs="Arial"/>
          <w:color w:val="595959" w:themeColor="text1" w:themeTint="A6"/>
          <w:lang w:val="es-MX"/>
        </w:rPr>
        <w:t xml:space="preserve"> con que contaba para ello; consecuentemente, su interposición es acorde a lo dispuesto por el numeral 166 de la Ley de Transparencia del Estado, por lo que se concluye que se encuentra dentro de los márgenes temporales previstos en el citado precepto legal.</w:t>
      </w:r>
    </w:p>
    <w:p w:rsidR="0020477D" w:rsidRPr="00223224" w:rsidRDefault="0020477D" w:rsidP="0020477D">
      <w:pPr>
        <w:pStyle w:val="Textoindependienteprimerasangra"/>
        <w:spacing w:before="240"/>
        <w:ind w:firstLine="900"/>
        <w:rPr>
          <w:rFonts w:ascii="Arial" w:hAnsi="Arial" w:cs="Arial"/>
          <w:color w:val="595959" w:themeColor="text1" w:themeTint="A6"/>
          <w:lang w:val="es-MX"/>
        </w:rPr>
      </w:pPr>
      <w:r w:rsidRPr="00223224">
        <w:rPr>
          <w:rFonts w:ascii="Arial" w:hAnsi="Arial" w:cs="Arial"/>
          <w:color w:val="595959" w:themeColor="text1" w:themeTint="A6"/>
          <w:lang w:val="es-MX"/>
        </w:rPr>
        <w:t xml:space="preserve">Asimismo, tras la revisión del escrito de interposición, se concluye que se acreditan de manera satisfactoria los extremos a que alude el </w:t>
      </w:r>
      <w:r w:rsidRPr="00223224">
        <w:rPr>
          <w:rFonts w:ascii="Arial" w:hAnsi="Arial" w:cs="Arial"/>
          <w:color w:val="595959" w:themeColor="text1" w:themeTint="A6"/>
          <w:lang w:val="es-MX"/>
        </w:rPr>
        <w:lastRenderedPageBreak/>
        <w:t>artículo 168 de la Ley de Transparencia y Acceso a la Información Pública del Estado de San Luis Potosí.</w:t>
      </w:r>
    </w:p>
    <w:p w:rsidR="00AE265B" w:rsidRPr="00223224" w:rsidRDefault="003C3862" w:rsidP="00AE265B">
      <w:pPr>
        <w:pStyle w:val="Textoindependienteprimerasangra"/>
        <w:spacing w:before="240"/>
        <w:ind w:firstLine="900"/>
        <w:rPr>
          <w:rFonts w:ascii="Arial" w:hAnsi="Arial" w:cs="Arial"/>
          <w:color w:val="595959" w:themeColor="text1" w:themeTint="A6"/>
          <w:lang w:val="es-MX"/>
        </w:rPr>
      </w:pPr>
      <w:r w:rsidRPr="00223224">
        <w:rPr>
          <w:rFonts w:ascii="Arial" w:hAnsi="Arial" w:cs="Arial"/>
          <w:b/>
          <w:color w:val="595959" w:themeColor="text1" w:themeTint="A6"/>
          <w:sz w:val="24"/>
          <w:lang w:val="es-MX"/>
        </w:rPr>
        <w:t xml:space="preserve">TERCERO. </w:t>
      </w:r>
      <w:r w:rsidR="00AE265B" w:rsidRPr="00223224">
        <w:rPr>
          <w:rFonts w:ascii="Arial" w:hAnsi="Arial" w:cs="Arial"/>
          <w:b/>
          <w:color w:val="595959" w:themeColor="text1" w:themeTint="A6"/>
          <w:sz w:val="24"/>
          <w:lang w:val="es-MX"/>
        </w:rPr>
        <w:t xml:space="preserve">Estudio y análisis de fondo. </w:t>
      </w:r>
      <w:r w:rsidR="00AE265B" w:rsidRPr="00223224">
        <w:rPr>
          <w:rFonts w:ascii="Arial" w:hAnsi="Arial" w:cs="Arial"/>
          <w:color w:val="595959" w:themeColor="text1" w:themeTint="A6"/>
          <w:lang w:val="es-MX"/>
        </w:rPr>
        <w:t>Esta Comisión procede, con fundamento en el artículo 144, fracción VI, de la Ley General de Transparencia y Acceso a la Inf</w:t>
      </w:r>
      <w:r w:rsidR="0020477D" w:rsidRPr="00223224">
        <w:rPr>
          <w:rFonts w:ascii="Arial" w:hAnsi="Arial" w:cs="Arial"/>
          <w:color w:val="595959" w:themeColor="text1" w:themeTint="A6"/>
          <w:lang w:val="es-MX"/>
        </w:rPr>
        <w:t>ormación Pública, al estudio del presente asunto de conformidad con los señalamientos que realizó el particular.</w:t>
      </w:r>
    </w:p>
    <w:p w:rsidR="00FD42F0" w:rsidRPr="00223224" w:rsidRDefault="00FD42F0" w:rsidP="00AE265B">
      <w:pPr>
        <w:pStyle w:val="Textoindependienteprimerasangra"/>
        <w:spacing w:before="240"/>
        <w:ind w:firstLine="900"/>
        <w:rPr>
          <w:rFonts w:ascii="Arial" w:hAnsi="Arial" w:cs="Arial"/>
          <w:color w:val="595959" w:themeColor="text1" w:themeTint="A6"/>
          <w:lang w:val="es-MX"/>
        </w:rPr>
      </w:pPr>
      <w:r w:rsidRPr="00223224">
        <w:rPr>
          <w:rFonts w:ascii="Arial" w:hAnsi="Arial" w:cs="Arial"/>
          <w:color w:val="595959" w:themeColor="text1" w:themeTint="A6"/>
          <w:lang w:val="es-MX"/>
        </w:rPr>
        <w:t>En un primer momento, es menester señalar que la autoridad no niega la entrega de la totalidad de la información, pues  puso a disposición lo siguiente:</w:t>
      </w:r>
    </w:p>
    <w:p w:rsidR="007037C7" w:rsidRPr="00223224" w:rsidRDefault="007037C7" w:rsidP="00FD42F0">
      <w:pPr>
        <w:pStyle w:val="Textoindependienteprimerasangra"/>
        <w:numPr>
          <w:ilvl w:val="0"/>
          <w:numId w:val="29"/>
        </w:numPr>
        <w:spacing w:before="240"/>
        <w:rPr>
          <w:rFonts w:ascii="Arial" w:hAnsi="Arial" w:cs="Arial"/>
          <w:color w:val="595959" w:themeColor="text1" w:themeTint="A6"/>
          <w:lang w:val="es-MX"/>
        </w:rPr>
      </w:pPr>
      <w:r w:rsidRPr="00223224">
        <w:rPr>
          <w:rFonts w:ascii="Arial" w:hAnsi="Arial" w:cs="Arial"/>
          <w:color w:val="595959" w:themeColor="text1" w:themeTint="A6"/>
          <w:lang w:val="es-MX"/>
        </w:rPr>
        <w:t>Acta de municipalización del fraccionamiento</w:t>
      </w:r>
    </w:p>
    <w:p w:rsidR="00FD42F0" w:rsidRPr="00223224" w:rsidRDefault="00FD42F0" w:rsidP="00FD42F0">
      <w:pPr>
        <w:pStyle w:val="Textoindependienteprimerasangra"/>
        <w:numPr>
          <w:ilvl w:val="0"/>
          <w:numId w:val="29"/>
        </w:numPr>
        <w:spacing w:before="240"/>
        <w:rPr>
          <w:rFonts w:ascii="Arial" w:hAnsi="Arial" w:cs="Arial"/>
          <w:color w:val="595959" w:themeColor="text1" w:themeTint="A6"/>
          <w:lang w:val="es-MX"/>
        </w:rPr>
      </w:pPr>
      <w:r w:rsidRPr="00223224">
        <w:rPr>
          <w:rFonts w:ascii="Arial" w:hAnsi="Arial" w:cs="Arial"/>
          <w:color w:val="595959" w:themeColor="text1" w:themeTint="A6"/>
          <w:lang w:val="es-MX"/>
        </w:rPr>
        <w:t>Factibilidad de uso de suelo.</w:t>
      </w:r>
    </w:p>
    <w:p w:rsidR="00FD42F0" w:rsidRPr="00223224" w:rsidRDefault="00FD42F0" w:rsidP="00FD42F0">
      <w:pPr>
        <w:pStyle w:val="Textoindependienteprimerasangra"/>
        <w:numPr>
          <w:ilvl w:val="0"/>
          <w:numId w:val="29"/>
        </w:numPr>
        <w:spacing w:before="240"/>
        <w:rPr>
          <w:rFonts w:ascii="Arial" w:hAnsi="Arial" w:cs="Arial"/>
          <w:color w:val="595959" w:themeColor="text1" w:themeTint="A6"/>
          <w:lang w:val="es-MX"/>
        </w:rPr>
      </w:pPr>
      <w:r w:rsidRPr="00223224">
        <w:rPr>
          <w:rFonts w:ascii="Arial" w:hAnsi="Arial" w:cs="Arial"/>
          <w:color w:val="595959" w:themeColor="text1" w:themeTint="A6"/>
          <w:lang w:val="es-MX"/>
        </w:rPr>
        <w:t>Constancias que emite la Secretaría General del Ayuntamiento</w:t>
      </w:r>
      <w:r w:rsidR="007037C7" w:rsidRPr="00223224">
        <w:rPr>
          <w:rFonts w:ascii="Arial" w:hAnsi="Arial" w:cs="Arial"/>
          <w:color w:val="595959" w:themeColor="text1" w:themeTint="A6"/>
          <w:lang w:val="es-MX"/>
        </w:rPr>
        <w:t xml:space="preserve">, </w:t>
      </w:r>
      <w:r w:rsidRPr="00223224">
        <w:rPr>
          <w:rFonts w:ascii="Arial" w:hAnsi="Arial" w:cs="Arial"/>
          <w:color w:val="595959" w:themeColor="text1" w:themeTint="A6"/>
          <w:lang w:val="es-MX"/>
        </w:rPr>
        <w:t>de autorización de cabildo.</w:t>
      </w:r>
    </w:p>
    <w:p w:rsidR="007037C7" w:rsidRPr="00223224" w:rsidRDefault="007037C7" w:rsidP="00FD42F0">
      <w:pPr>
        <w:pStyle w:val="Textoindependienteprimerasangra"/>
        <w:numPr>
          <w:ilvl w:val="0"/>
          <w:numId w:val="29"/>
        </w:numPr>
        <w:spacing w:before="240"/>
        <w:rPr>
          <w:rFonts w:ascii="Arial" w:hAnsi="Arial" w:cs="Arial"/>
          <w:color w:val="595959" w:themeColor="text1" w:themeTint="A6"/>
          <w:lang w:val="es-MX"/>
        </w:rPr>
      </w:pPr>
      <w:r w:rsidRPr="00223224">
        <w:rPr>
          <w:rFonts w:ascii="Arial" w:hAnsi="Arial" w:cs="Arial"/>
          <w:color w:val="595959" w:themeColor="text1" w:themeTint="A6"/>
          <w:lang w:val="es-MX"/>
        </w:rPr>
        <w:t>Entrega recepción del fraccionamiento.</w:t>
      </w:r>
    </w:p>
    <w:p w:rsidR="007037C7" w:rsidRPr="00223224" w:rsidRDefault="007037C7" w:rsidP="00FD42F0">
      <w:pPr>
        <w:pStyle w:val="Textoindependienteprimerasangra"/>
        <w:numPr>
          <w:ilvl w:val="0"/>
          <w:numId w:val="29"/>
        </w:numPr>
        <w:spacing w:before="240"/>
        <w:rPr>
          <w:rFonts w:ascii="Arial" w:hAnsi="Arial" w:cs="Arial"/>
          <w:color w:val="595959" w:themeColor="text1" w:themeTint="A6"/>
          <w:lang w:val="es-MX"/>
        </w:rPr>
      </w:pPr>
      <w:r w:rsidRPr="00223224">
        <w:rPr>
          <w:rFonts w:ascii="Arial" w:hAnsi="Arial" w:cs="Arial"/>
          <w:color w:val="595959" w:themeColor="text1" w:themeTint="A6"/>
          <w:lang w:val="es-MX"/>
        </w:rPr>
        <w:t>Plano de lotificación del fraccionamiento.</w:t>
      </w:r>
    </w:p>
    <w:p w:rsidR="007037C7" w:rsidRPr="00223224" w:rsidRDefault="007037C7" w:rsidP="00FD42F0">
      <w:pPr>
        <w:pStyle w:val="Textoindependienteprimerasangra"/>
        <w:numPr>
          <w:ilvl w:val="0"/>
          <w:numId w:val="29"/>
        </w:numPr>
        <w:spacing w:before="240"/>
        <w:rPr>
          <w:rFonts w:ascii="Arial" w:hAnsi="Arial" w:cs="Arial"/>
          <w:color w:val="595959" w:themeColor="text1" w:themeTint="A6"/>
          <w:lang w:val="es-MX"/>
        </w:rPr>
      </w:pPr>
      <w:r w:rsidRPr="00223224">
        <w:rPr>
          <w:rFonts w:ascii="Arial" w:hAnsi="Arial" w:cs="Arial"/>
          <w:color w:val="595959" w:themeColor="text1" w:themeTint="A6"/>
          <w:lang w:val="es-MX"/>
        </w:rPr>
        <w:t>Alineamiento y número oficial del Fraccionamiento.</w:t>
      </w:r>
    </w:p>
    <w:p w:rsidR="007037C7" w:rsidRPr="00223224" w:rsidRDefault="007037C7" w:rsidP="00FD42F0">
      <w:pPr>
        <w:pStyle w:val="Textoindependienteprimerasangra"/>
        <w:numPr>
          <w:ilvl w:val="0"/>
          <w:numId w:val="29"/>
        </w:numPr>
        <w:spacing w:before="240"/>
        <w:rPr>
          <w:rFonts w:ascii="Arial" w:hAnsi="Arial" w:cs="Arial"/>
          <w:color w:val="595959" w:themeColor="text1" w:themeTint="A6"/>
          <w:lang w:val="es-MX"/>
        </w:rPr>
      </w:pPr>
      <w:r w:rsidRPr="00223224">
        <w:rPr>
          <w:rFonts w:ascii="Arial" w:hAnsi="Arial" w:cs="Arial"/>
          <w:color w:val="595959" w:themeColor="text1" w:themeTint="A6"/>
          <w:lang w:val="es-MX"/>
        </w:rPr>
        <w:t xml:space="preserve">Licencia para construcción y alineamiento y número oficial de casa habitaciones pertenecientes al fraccionamiento. </w:t>
      </w:r>
    </w:p>
    <w:p w:rsidR="005C585E" w:rsidRPr="00223224" w:rsidRDefault="005C585E" w:rsidP="00AE265B">
      <w:pPr>
        <w:pStyle w:val="Textoindependienteprimerasangra"/>
        <w:spacing w:before="240"/>
        <w:ind w:firstLine="900"/>
        <w:rPr>
          <w:rFonts w:ascii="Arial" w:hAnsi="Arial" w:cs="Arial"/>
          <w:color w:val="595959" w:themeColor="text1" w:themeTint="A6"/>
          <w:lang w:val="es-MX"/>
        </w:rPr>
      </w:pPr>
      <w:r w:rsidRPr="00223224">
        <w:rPr>
          <w:rFonts w:ascii="Arial" w:hAnsi="Arial" w:cs="Arial"/>
          <w:color w:val="595959" w:themeColor="text1" w:themeTint="A6"/>
          <w:lang w:val="es-MX"/>
        </w:rPr>
        <w:t>Del análisis del recurso que interpuso la peticionaria, se estima que esta se inconforma de la clasificación que llevó a cabo el sujeto obligado, pues afirma que aquello que solicitó se encuentra dentro del dominio público, es decir, que lo requerido sí es sujeto de ser entregado.</w:t>
      </w:r>
    </w:p>
    <w:p w:rsidR="005C585E" w:rsidRPr="00223224" w:rsidRDefault="005C585E" w:rsidP="005C585E">
      <w:pPr>
        <w:spacing w:before="240" w:after="240"/>
        <w:ind w:firstLine="709"/>
        <w:rPr>
          <w:rFonts w:ascii="Arial" w:hAnsi="Arial" w:cs="Arial"/>
          <w:color w:val="595959" w:themeColor="text1" w:themeTint="A6"/>
          <w:szCs w:val="26"/>
        </w:rPr>
      </w:pPr>
      <w:r w:rsidRPr="00223224">
        <w:rPr>
          <w:rFonts w:ascii="Arial" w:hAnsi="Arial" w:cs="Arial"/>
          <w:color w:val="595959" w:themeColor="text1" w:themeTint="A6"/>
          <w:szCs w:val="26"/>
        </w:rPr>
        <w:t>Con base en lo anterior, y contrario a lo que sostiene la autoridad en sus manifestaciones, esta Comisión c</w:t>
      </w:r>
      <w:r w:rsidRPr="00223224">
        <w:rPr>
          <w:rFonts w:ascii="Arial" w:hAnsi="Arial" w:cs="Arial"/>
          <w:color w:val="595959" w:themeColor="text1" w:themeTint="A6"/>
        </w:rPr>
        <w:t xml:space="preserve">on base en los artículos 14 y 170, segundo párrafo, de la Ley de Transparencia y Acceso a la Información Pública del Estado, esta Comisión estima pertinente suplir la </w:t>
      </w:r>
      <w:r w:rsidRPr="00223224">
        <w:rPr>
          <w:rFonts w:ascii="Arial" w:hAnsi="Arial" w:cs="Arial"/>
          <w:color w:val="595959" w:themeColor="text1" w:themeTint="A6"/>
        </w:rPr>
        <w:lastRenderedPageBreak/>
        <w:t xml:space="preserve">deficiencia en los argumentos del particular, ya que los citados preceptos </w:t>
      </w:r>
      <w:r w:rsidRPr="00223224">
        <w:rPr>
          <w:rFonts w:ascii="Arial" w:hAnsi="Arial" w:cs="Arial"/>
          <w:color w:val="595959" w:themeColor="text1" w:themeTint="A6"/>
          <w:szCs w:val="26"/>
        </w:rPr>
        <w:t>disponen que este Órgano Garante debe subsanar cualquier insuficiencia o deficiencia para garantizar el ejercicio del derecho de acceso a la información, entendida dicha suplencia de la siguiente manera:</w:t>
      </w:r>
    </w:p>
    <w:p w:rsidR="005C585E" w:rsidRPr="00223224" w:rsidRDefault="005C585E" w:rsidP="005C585E">
      <w:pPr>
        <w:pStyle w:val="Prrafodelista"/>
        <w:numPr>
          <w:ilvl w:val="0"/>
          <w:numId w:val="18"/>
        </w:numPr>
        <w:spacing w:after="240"/>
        <w:rPr>
          <w:rFonts w:ascii="Arial" w:hAnsi="Arial" w:cs="Arial"/>
          <w:color w:val="595959" w:themeColor="text1" w:themeTint="A6"/>
          <w:szCs w:val="26"/>
        </w:rPr>
      </w:pPr>
      <w:r w:rsidRPr="00223224">
        <w:rPr>
          <w:rFonts w:ascii="Arial" w:hAnsi="Arial" w:cs="Arial"/>
          <w:color w:val="595959" w:themeColor="text1" w:themeTint="A6"/>
          <w:szCs w:val="26"/>
        </w:rPr>
        <w:t>Se suplirán los motivos o causas de agravio cuando estos sean deficientes.</w:t>
      </w:r>
    </w:p>
    <w:p w:rsidR="005C585E" w:rsidRPr="00223224" w:rsidRDefault="005C585E" w:rsidP="005C585E">
      <w:pPr>
        <w:pStyle w:val="Prrafodelista"/>
        <w:numPr>
          <w:ilvl w:val="0"/>
          <w:numId w:val="18"/>
        </w:numPr>
        <w:spacing w:after="240"/>
        <w:rPr>
          <w:rFonts w:ascii="Arial" w:hAnsi="Arial" w:cs="Arial"/>
          <w:color w:val="595959" w:themeColor="text1" w:themeTint="A6"/>
          <w:szCs w:val="26"/>
        </w:rPr>
      </w:pPr>
      <w:r w:rsidRPr="00223224">
        <w:rPr>
          <w:rFonts w:ascii="Arial" w:hAnsi="Arial" w:cs="Arial"/>
          <w:color w:val="595959" w:themeColor="text1" w:themeTint="A6"/>
          <w:szCs w:val="26"/>
        </w:rPr>
        <w:t>No se haya expresado una inconformidad, pero de los hechos planteados en el recurso se deduzca la afectación al derecho de acceso a la información.</w:t>
      </w:r>
    </w:p>
    <w:p w:rsidR="005C585E" w:rsidRPr="00223224" w:rsidRDefault="005C585E" w:rsidP="005C585E">
      <w:pPr>
        <w:rPr>
          <w:rFonts w:ascii="Arial" w:hAnsi="Arial" w:cs="Arial"/>
          <w:color w:val="595959" w:themeColor="text1" w:themeTint="A6"/>
        </w:rPr>
      </w:pPr>
      <w:r w:rsidRPr="00223224">
        <w:rPr>
          <w:rFonts w:ascii="Arial" w:hAnsi="Arial" w:cs="Arial"/>
          <w:color w:val="595959" w:themeColor="text1" w:themeTint="A6"/>
          <w:szCs w:val="26"/>
        </w:rPr>
        <w:tab/>
        <w:t xml:space="preserve">En consonancia a lo ya señalado, esta Comisión está facultada de manera implícita para integrar el contenido de los documentos y elementos técnicos que conforman el medio de impugnación del que se trata. Tal aseveración se justifica, ya que el Órgano Resolutor, con base en el artículo 8°, fracciones II y VIII, de la Ley de Transparencia del Estado, cuenta </w:t>
      </w:r>
      <w:r w:rsidRPr="00223224">
        <w:rPr>
          <w:rFonts w:ascii="Arial" w:hAnsi="Arial" w:cs="Arial"/>
          <w:color w:val="595959" w:themeColor="text1" w:themeTint="A6"/>
        </w:rPr>
        <w:t>con la experiencia y conocimientos suficientes para interpretar la redacción oscura o irregular, y determinar el verdadero sentido y la expresión exacta del pensamiento de su autor que por error incurre en omisiones o en imprecisiones, o como es el caso estuvo impedido para conocer el acto por el cual se le pretendió tutelar su derecho de acceso a la información. Inspirado en esos principios, se  sostiene que la interpretación del recurso no se debe limitar al escrito en el que se inicia, sino que debe comprender el análisis de los documentos que lo integran y que, de hecho, forman parte de éste; pues sólo así puede alcanzarse una interpretación completa de la voluntad del recurrente y advertir el error o la omisión en que haya incurrido por ignorancia formal del derecho.</w:t>
      </w:r>
      <w:r w:rsidR="001153ED" w:rsidRPr="00223224">
        <w:rPr>
          <w:rFonts w:ascii="Arial" w:hAnsi="Arial" w:cs="Arial"/>
          <w:color w:val="595959" w:themeColor="text1" w:themeTint="A6"/>
        </w:rPr>
        <w:t xml:space="preserve"> </w:t>
      </w:r>
    </w:p>
    <w:p w:rsidR="001153ED" w:rsidRPr="00223224" w:rsidRDefault="001153ED" w:rsidP="001153ED">
      <w:pPr>
        <w:spacing w:before="240"/>
        <w:rPr>
          <w:rFonts w:ascii="Arial" w:hAnsi="Arial" w:cs="Arial"/>
          <w:color w:val="595959" w:themeColor="text1" w:themeTint="A6"/>
        </w:rPr>
      </w:pPr>
      <w:r w:rsidRPr="00223224">
        <w:rPr>
          <w:rFonts w:ascii="Arial" w:hAnsi="Arial" w:cs="Arial"/>
          <w:color w:val="595959" w:themeColor="text1" w:themeTint="A6"/>
        </w:rPr>
        <w:tab/>
        <w:t xml:space="preserve">Por otra parte, procede la suplencia de la queja cuando el juzgador, en este caso la Comisión como Órgano Garante de un derecho humano, advierte que el bien jurídico tutelado que salvaguarda se vea afectado o vulnerado, debe abordar el estudio de la causa para restituir el respeto al derecho humano que pudiera verse afectado por la actuación activa o </w:t>
      </w:r>
      <w:r w:rsidRPr="00223224">
        <w:rPr>
          <w:rFonts w:ascii="Arial" w:hAnsi="Arial" w:cs="Arial"/>
          <w:color w:val="595959" w:themeColor="text1" w:themeTint="A6"/>
        </w:rPr>
        <w:lastRenderedPageBreak/>
        <w:t>omisiva de la autoridad. Se sustenta tal afirmación en lo dispuesto por la tesis de jurisprudencia XXVII.1o.(VIII Región) J/3 (10a.), emitida por el Primer Tribunal Colegiado de Circuito del Centro Auxiliar de la Octava Región,</w:t>
      </w:r>
      <w:r w:rsidR="00FD42F0" w:rsidRPr="00223224">
        <w:rPr>
          <w:rFonts w:ascii="Arial" w:hAnsi="Arial" w:cs="Arial"/>
          <w:color w:val="595959" w:themeColor="text1" w:themeTint="A6"/>
        </w:rPr>
        <w:t xml:space="preserve"> misma que se aplica por analogía, y</w:t>
      </w:r>
      <w:r w:rsidRPr="00223224">
        <w:rPr>
          <w:rFonts w:ascii="Arial" w:hAnsi="Arial" w:cs="Arial"/>
          <w:color w:val="595959" w:themeColor="text1" w:themeTint="A6"/>
        </w:rPr>
        <w:t xml:space="preserve"> que establece:</w:t>
      </w:r>
    </w:p>
    <w:p w:rsidR="005C585E" w:rsidRPr="00223224" w:rsidRDefault="005C585E" w:rsidP="001153ED">
      <w:pPr>
        <w:spacing w:line="240" w:lineRule="auto"/>
        <w:ind w:left="851" w:firstLine="851"/>
        <w:rPr>
          <w:rFonts w:ascii="Arial" w:hAnsi="Arial" w:cs="Arial"/>
          <w:b/>
          <w:bCs/>
          <w:i/>
          <w:color w:val="595959" w:themeColor="text1" w:themeTint="A6"/>
          <w:sz w:val="22"/>
          <w:szCs w:val="22"/>
        </w:rPr>
      </w:pPr>
      <w:r w:rsidRPr="00223224">
        <w:rPr>
          <w:rFonts w:ascii="Arial" w:hAnsi="Arial" w:cs="Arial"/>
          <w:b/>
          <w:bCs/>
          <w:i/>
          <w:color w:val="595959" w:themeColor="text1" w:themeTint="A6"/>
          <w:sz w:val="22"/>
          <w:szCs w:val="22"/>
        </w:rPr>
        <w:t>SUPLENCIA DE LA QUEJA DEFICIENTE EN EL JUICIO DE AMPARO. PROCEDE CUANDO EL JUZGADOR ADVIERTA LA VIOLACIÓN DE DERECHOS HUMANOS.</w:t>
      </w:r>
    </w:p>
    <w:p w:rsidR="005C585E" w:rsidRPr="00223224" w:rsidRDefault="005C585E" w:rsidP="001153ED">
      <w:pPr>
        <w:spacing w:line="240" w:lineRule="auto"/>
        <w:ind w:left="851" w:firstLine="851"/>
        <w:jc w:val="left"/>
        <w:rPr>
          <w:rFonts w:ascii="Arial" w:hAnsi="Arial" w:cs="Arial"/>
          <w:i/>
          <w:color w:val="595959" w:themeColor="text1" w:themeTint="A6"/>
          <w:sz w:val="22"/>
          <w:szCs w:val="22"/>
        </w:rPr>
      </w:pPr>
      <w:r w:rsidRPr="00223224">
        <w:rPr>
          <w:rFonts w:ascii="Arial" w:hAnsi="Arial" w:cs="Arial"/>
          <w:i/>
          <w:color w:val="595959" w:themeColor="text1" w:themeTint="A6"/>
          <w:sz w:val="22"/>
          <w:szCs w:val="22"/>
        </w:rPr>
        <w:br/>
      </w:r>
    </w:p>
    <w:p w:rsidR="005C585E" w:rsidRPr="00223224" w:rsidRDefault="005C585E" w:rsidP="001153ED">
      <w:pPr>
        <w:spacing w:line="240" w:lineRule="auto"/>
        <w:ind w:left="851" w:firstLine="851"/>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De acuerdo con el artículo </w:t>
      </w:r>
      <w:hyperlink r:id="rId8" w:history="1">
        <w:r w:rsidRPr="00223224">
          <w:rPr>
            <w:rStyle w:val="Hipervnculo"/>
            <w:rFonts w:ascii="Arial" w:hAnsi="Arial" w:cs="Arial"/>
            <w:i/>
            <w:color w:val="595959" w:themeColor="text1" w:themeTint="A6"/>
            <w:sz w:val="22"/>
            <w:szCs w:val="22"/>
          </w:rPr>
          <w:t>1o. de la Constitución Política de los Estados Unidos Mexicanos</w:t>
        </w:r>
      </w:hyperlink>
      <w:r w:rsidRPr="00223224">
        <w:rPr>
          <w:rFonts w:ascii="Arial" w:hAnsi="Arial" w:cs="Arial"/>
          <w:i/>
          <w:color w:val="595959" w:themeColor="text1" w:themeTint="A6"/>
          <w:sz w:val="22"/>
          <w:szCs w:val="22"/>
        </w:rPr>
        <w:t xml:space="preserve">, en su texto vigente a partir del once de junio de dos mil once, todas las autoridades, en el ámbito de sus competencias, están obligadas a promover, respetar, proteger y garantizar los derechos humanos establecidos en aquélla y en los tratados internacionales de los que el Estado Mexicano sea parte, interpretando las normas relativas a esos derechos de conformidad con dichos ordenamientos (principio de interpretación conforme) favoreciendo en todo tiempo a las personas con la protección más amplia (principio pro </w:t>
      </w:r>
      <w:proofErr w:type="spellStart"/>
      <w:r w:rsidRPr="00223224">
        <w:rPr>
          <w:rFonts w:ascii="Arial" w:hAnsi="Arial" w:cs="Arial"/>
          <w:i/>
          <w:color w:val="595959" w:themeColor="text1" w:themeTint="A6"/>
          <w:sz w:val="22"/>
          <w:szCs w:val="22"/>
        </w:rPr>
        <w:t>homine</w:t>
      </w:r>
      <w:proofErr w:type="spellEnd"/>
      <w:r w:rsidRPr="00223224">
        <w:rPr>
          <w:rFonts w:ascii="Arial" w:hAnsi="Arial" w:cs="Arial"/>
          <w:i/>
          <w:color w:val="595959" w:themeColor="text1" w:themeTint="A6"/>
          <w:sz w:val="22"/>
          <w:szCs w:val="22"/>
        </w:rPr>
        <w:t>). Lo anterior, acorde con los principios de interdependencia, indivisibilidad, universalidad y progresividad, de los cuales se advierte que los derechos humanos se interrelacionan y dependen recíprocamente unos de otros y tienen como origen común la dignidad humana, por lo cual no es procedente relegar algunos para conceder prioridad a otros ni puede existir jerarquía entre ellos, lo que significa que todos los derechos humanos deben ser objeto de protección sin distinción alguna. En atención a lo expuesto y de conformidad con el artículo </w:t>
      </w:r>
      <w:hyperlink r:id="rId9" w:history="1">
        <w:r w:rsidRPr="00223224">
          <w:rPr>
            <w:rStyle w:val="Hipervnculo"/>
            <w:rFonts w:ascii="Arial" w:hAnsi="Arial" w:cs="Arial"/>
            <w:i/>
            <w:color w:val="595959" w:themeColor="text1" w:themeTint="A6"/>
            <w:sz w:val="22"/>
            <w:szCs w:val="22"/>
          </w:rPr>
          <w:t>103 de la Carta Magna</w:t>
        </w:r>
      </w:hyperlink>
      <w:r w:rsidRPr="00223224">
        <w:rPr>
          <w:rFonts w:ascii="Arial" w:hAnsi="Arial" w:cs="Arial"/>
          <w:i/>
          <w:color w:val="595959" w:themeColor="text1" w:themeTint="A6"/>
          <w:sz w:val="22"/>
          <w:szCs w:val="22"/>
        </w:rPr>
        <w:t>, a las autoridades jurisdiccionales que conozcan del amparo les corresponde con mayor énfasis, en razón de sus funciones de impartición de justicia y conforme al objeto del citado juicio, "proteger" y "garantizar" los derechos humanos en las controversias sometidas a su competencia. Por su parte, los artículos </w:t>
      </w:r>
      <w:hyperlink r:id="rId10" w:history="1">
        <w:r w:rsidRPr="00223224">
          <w:rPr>
            <w:rStyle w:val="Hipervnculo"/>
            <w:rFonts w:ascii="Arial" w:hAnsi="Arial" w:cs="Arial"/>
            <w:i/>
            <w:color w:val="595959" w:themeColor="text1" w:themeTint="A6"/>
            <w:sz w:val="22"/>
            <w:szCs w:val="22"/>
          </w:rPr>
          <w:t>8 de la Declaración Universal de los Derechos Humanos</w:t>
        </w:r>
      </w:hyperlink>
      <w:r w:rsidRPr="00223224">
        <w:rPr>
          <w:rFonts w:ascii="Arial" w:hAnsi="Arial" w:cs="Arial"/>
          <w:i/>
          <w:color w:val="595959" w:themeColor="text1" w:themeTint="A6"/>
          <w:sz w:val="22"/>
          <w:szCs w:val="22"/>
        </w:rPr>
        <w:t> y </w:t>
      </w:r>
      <w:hyperlink r:id="rId11" w:history="1">
        <w:r w:rsidRPr="00223224">
          <w:rPr>
            <w:rStyle w:val="Hipervnculo"/>
            <w:rFonts w:ascii="Arial" w:hAnsi="Arial" w:cs="Arial"/>
            <w:i/>
            <w:color w:val="595959" w:themeColor="text1" w:themeTint="A6"/>
            <w:sz w:val="22"/>
            <w:szCs w:val="22"/>
          </w:rPr>
          <w:t>25, numeral 1 de la Convención Americana sobre Derechos Humanos</w:t>
        </w:r>
      </w:hyperlink>
      <w:r w:rsidRPr="00223224">
        <w:rPr>
          <w:rFonts w:ascii="Arial" w:hAnsi="Arial" w:cs="Arial"/>
          <w:i/>
          <w:color w:val="595959" w:themeColor="text1" w:themeTint="A6"/>
          <w:sz w:val="22"/>
          <w:szCs w:val="22"/>
        </w:rPr>
        <w:t>, establecen que toda persona tiene derecho a un recurso "efectivo" ante los tribunales competentes, que la amparen contra los actos que violen sus derechos fundamentales reconocidos por la Constitución y esos instrumentos normativos. Asimismo, el Pleno de la Suprema Corte de Justicia de la Nación sostuvo en la tesis P. LXVII/2011 (9a.), de rubro: "</w:t>
      </w:r>
      <w:hyperlink r:id="rId12" w:tgtFrame="_popup" w:history="1">
        <w:r w:rsidRPr="00223224">
          <w:rPr>
            <w:rStyle w:val="Hipervnculo"/>
            <w:rFonts w:ascii="Arial" w:hAnsi="Arial" w:cs="Arial"/>
            <w:i/>
            <w:color w:val="595959" w:themeColor="text1" w:themeTint="A6"/>
            <w:sz w:val="22"/>
            <w:szCs w:val="22"/>
          </w:rPr>
          <w:t>CONTROL DE CONVENCIONALIDAD EX OFFICIO EN UN MODELO DE CONTROL DIFUSO DE CONSTITUCIONALIDAD</w:t>
        </w:r>
      </w:hyperlink>
      <w:r w:rsidRPr="00223224">
        <w:rPr>
          <w:rFonts w:ascii="Arial" w:hAnsi="Arial" w:cs="Arial"/>
          <w:i/>
          <w:color w:val="595959" w:themeColor="text1" w:themeTint="A6"/>
          <w:sz w:val="22"/>
          <w:szCs w:val="22"/>
        </w:rPr>
        <w:t xml:space="preserve">.", que los Jueces están autorizados para realizar un control de convencionalidad "ex </w:t>
      </w:r>
      <w:proofErr w:type="spellStart"/>
      <w:r w:rsidRPr="00223224">
        <w:rPr>
          <w:rFonts w:ascii="Arial" w:hAnsi="Arial" w:cs="Arial"/>
          <w:i/>
          <w:color w:val="595959" w:themeColor="text1" w:themeTint="A6"/>
          <w:sz w:val="22"/>
          <w:szCs w:val="22"/>
        </w:rPr>
        <w:t>officio</w:t>
      </w:r>
      <w:proofErr w:type="spellEnd"/>
      <w:r w:rsidRPr="00223224">
        <w:rPr>
          <w:rFonts w:ascii="Arial" w:hAnsi="Arial" w:cs="Arial"/>
          <w:i/>
          <w:color w:val="595959" w:themeColor="text1" w:themeTint="A6"/>
          <w:sz w:val="22"/>
          <w:szCs w:val="22"/>
        </w:rPr>
        <w:t xml:space="preserve">", esto es, con independencia de que las partes lo invoquen, pues dicha facultad no debe quedar limitada exclusivamente por las manifestaciones de los accionantes en cada caso concreto. En observancia de todo lo anterior, cuando el juzgador de amparo advierta que la norma general, acto u omisión reclamada de la autoridad responsable vulnera los derechos humanos del quejoso, debe abordar el estudio de esa violación, con independencia de que las partes invoquen o no dicha infracción en sus conceptos de violación o agravios, pues de esta manera se favorece el acatamiento de los principios señalados y se resguarda el efecto útil del juicio de amparo como medio para proteger y garantizar los derechos fundamentales, sin soslayar, desde luego, los presupuestos necesarios para suplir la deficiencia de argumentos, tales como que el juzgador tenga competencia, que el juicio sea procedente y que se respete la litis planteada. Esta suplencia complementa la prevista en la Ley de Amparo, ya que revela mayores alcances en cuanto al sujeto, al proceder en favor de cualquier persona y no sólo en beneficio de determinados individuos, </w:t>
      </w:r>
      <w:r w:rsidRPr="00223224">
        <w:rPr>
          <w:rFonts w:ascii="Arial" w:hAnsi="Arial" w:cs="Arial"/>
          <w:i/>
          <w:color w:val="595959" w:themeColor="text1" w:themeTint="A6"/>
          <w:sz w:val="22"/>
          <w:szCs w:val="22"/>
        </w:rPr>
        <w:lastRenderedPageBreak/>
        <w:t>circunstancia que, sin embargo, no torna inoperante el beneficio regulado en dicha ley, pues éste reviste una protección más amplia en cuanto al objeto, debido a que no se limita a violaciones de derechos humanos en materia de constitucionalidad y convencionalidad, sino también de legalidad. Lo anterior deja entrever que si bien ambas clases de suplencia pueden concurrir en ciertos casos, en otros puede resultar procedente una u otra, de manera que la contemplada en la Ley de Amparo sigue teniendo plena eficacia en los supuestos que prevé.</w:t>
      </w:r>
    </w:p>
    <w:p w:rsidR="00FB18C1" w:rsidRPr="00223224" w:rsidRDefault="001153ED" w:rsidP="001153ED">
      <w:pPr>
        <w:spacing w:before="240"/>
        <w:rPr>
          <w:rFonts w:ascii="Arial" w:hAnsi="Arial" w:cs="Arial"/>
          <w:color w:val="595959" w:themeColor="text1" w:themeTint="A6"/>
        </w:rPr>
      </w:pPr>
      <w:r w:rsidRPr="00223224">
        <w:rPr>
          <w:color w:val="595959" w:themeColor="text1" w:themeTint="A6"/>
        </w:rPr>
        <w:tab/>
      </w:r>
      <w:r w:rsidRPr="00223224">
        <w:rPr>
          <w:rFonts w:ascii="Arial" w:hAnsi="Arial" w:cs="Arial"/>
          <w:color w:val="595959" w:themeColor="text1" w:themeTint="A6"/>
        </w:rPr>
        <w:t>Por lo anterior, esta Comisión procederá al estudio del acuerdo de reserva emitido por la autoridad para</w:t>
      </w:r>
      <w:r w:rsidR="00FB18C1" w:rsidRPr="00223224">
        <w:rPr>
          <w:rFonts w:ascii="Arial" w:hAnsi="Arial" w:cs="Arial"/>
          <w:color w:val="595959" w:themeColor="text1" w:themeTint="A6"/>
        </w:rPr>
        <w:t xml:space="preserve"> efectos de determinar </w:t>
      </w:r>
      <w:r w:rsidRPr="00223224">
        <w:rPr>
          <w:rFonts w:ascii="Arial" w:hAnsi="Arial" w:cs="Arial"/>
          <w:color w:val="595959" w:themeColor="text1" w:themeTint="A6"/>
        </w:rPr>
        <w:t>si el mismo se ajusta a los extremos que previene la Ley</w:t>
      </w:r>
      <w:r w:rsidR="00FB18C1" w:rsidRPr="00223224">
        <w:rPr>
          <w:rFonts w:ascii="Arial" w:hAnsi="Arial" w:cs="Arial"/>
          <w:color w:val="595959" w:themeColor="text1" w:themeTint="A6"/>
        </w:rPr>
        <w:t>, en otras palabras, si no violenta las bases y principios en que se consagra el derecho de acceso a la información pública</w:t>
      </w:r>
      <w:r w:rsidR="007037C7" w:rsidRPr="00223224">
        <w:rPr>
          <w:rFonts w:ascii="Arial" w:hAnsi="Arial" w:cs="Arial"/>
          <w:color w:val="595959" w:themeColor="text1" w:themeTint="A6"/>
        </w:rPr>
        <w:t>, pues se clasificó aquello que se refiere al periodo en el que se llevó a cabo el traslado de dominio del fraccionamiento</w:t>
      </w:r>
      <w:r w:rsidR="00FB18C1" w:rsidRPr="00223224">
        <w:rPr>
          <w:rFonts w:ascii="Arial" w:hAnsi="Arial" w:cs="Arial"/>
          <w:color w:val="595959" w:themeColor="text1" w:themeTint="A6"/>
        </w:rPr>
        <w:t>.</w:t>
      </w:r>
    </w:p>
    <w:p w:rsidR="00FB18C1" w:rsidRPr="00223224" w:rsidRDefault="00FB18C1" w:rsidP="00FB18C1">
      <w:pPr>
        <w:pStyle w:val="Textoindependienteprimerasangra"/>
        <w:spacing w:before="240"/>
        <w:ind w:firstLine="900"/>
        <w:rPr>
          <w:rFonts w:ascii="Arial" w:hAnsi="Arial" w:cs="Arial"/>
          <w:color w:val="595959" w:themeColor="text1" w:themeTint="A6"/>
          <w:lang w:val="es-MX"/>
        </w:rPr>
      </w:pPr>
      <w:r w:rsidRPr="00223224">
        <w:rPr>
          <w:rFonts w:ascii="Arial" w:hAnsi="Arial" w:cs="Arial"/>
          <w:color w:val="595959" w:themeColor="text1" w:themeTint="A6"/>
          <w:lang w:val="es-MX"/>
        </w:rPr>
        <w:t>Del análisis de la inconformidad, esta Comisión estima que la misma resulta fundada, toda vez que, como se logra apreciar, el sujeto obligado, al momento de llevar a cabo la clasificación de la información,  no se ajustara a los términos que establece la  Ley de Transparencia y Acceso a la Información Pública del Estado.</w:t>
      </w:r>
    </w:p>
    <w:p w:rsidR="00FB18C1" w:rsidRPr="00223224" w:rsidRDefault="00FB18C1" w:rsidP="00FB18C1">
      <w:pPr>
        <w:pStyle w:val="Textoindependienteprimerasangra"/>
        <w:spacing w:before="240"/>
        <w:ind w:firstLine="900"/>
        <w:rPr>
          <w:rFonts w:ascii="Arial" w:hAnsi="Arial" w:cs="Arial"/>
          <w:color w:val="595959" w:themeColor="text1" w:themeTint="A6"/>
          <w:lang w:val="es-MX"/>
        </w:rPr>
      </w:pPr>
      <w:r w:rsidRPr="00223224">
        <w:rPr>
          <w:rFonts w:ascii="Arial" w:hAnsi="Arial" w:cs="Arial"/>
          <w:color w:val="595959" w:themeColor="text1" w:themeTint="A6"/>
          <w:lang w:val="es-MX"/>
        </w:rPr>
        <w:t xml:space="preserve">El acuerdo de reserva emitido por el sujeto obligado el ocho de junio de dos mil diecisiete, se fundamenta en las hipótesis establecidas en el artículo 129, fracciones VIII y X, de la Ley de Transparencia y Acceso a la Información Pública del Estado, y por él se clasificó la totalidad del padrón catastral y los expedientes físicos y digitales de la Dirección de Catastro y Desarrollo Urbano del Municipio de San Luis Potosí, así como la de los departamentos de Catastro en las Delegaciones de Villa de Pozos, la Pila y Bocas. </w:t>
      </w:r>
    </w:p>
    <w:p w:rsidR="00FB18C1" w:rsidRPr="00223224" w:rsidRDefault="00FB18C1" w:rsidP="00FB18C1">
      <w:pPr>
        <w:pStyle w:val="Textoindependienteprimerasangra"/>
        <w:spacing w:before="240"/>
        <w:ind w:firstLine="900"/>
        <w:rPr>
          <w:rFonts w:ascii="Arial" w:hAnsi="Arial" w:cs="Arial"/>
          <w:color w:val="595959" w:themeColor="text1" w:themeTint="A6"/>
          <w:lang w:val="es-MX"/>
        </w:rPr>
      </w:pPr>
      <w:r w:rsidRPr="00223224">
        <w:rPr>
          <w:rFonts w:ascii="Arial" w:hAnsi="Arial" w:cs="Arial"/>
          <w:color w:val="595959" w:themeColor="text1" w:themeTint="A6"/>
          <w:lang w:val="es-MX"/>
        </w:rPr>
        <w:t xml:space="preserve">De conformidad con el artículo 2°, fracción VII, de la Ley General de Transparencia y Acceso a la Información Pública, una de sus finalidades es promover, fomentar y difundir la rendición de cuentas, la que debe ser entendida desde sus dos vertientes: la primera de ellas, consistente en determinar quién es el sujeto constreñido a rendir cuentas </w:t>
      </w:r>
      <w:r w:rsidRPr="00223224">
        <w:rPr>
          <w:rFonts w:ascii="Arial" w:hAnsi="Arial" w:cs="Arial"/>
          <w:color w:val="595959" w:themeColor="text1" w:themeTint="A6"/>
          <w:lang w:val="es-MX"/>
        </w:rPr>
        <w:lastRenderedPageBreak/>
        <w:t xml:space="preserve">a la sociedad, y la segunda entendida como los alcances de ésta actividad dentro de la vida democrática del país. </w:t>
      </w:r>
    </w:p>
    <w:p w:rsidR="00FB18C1" w:rsidRPr="00223224" w:rsidRDefault="00FB18C1" w:rsidP="00FB18C1">
      <w:pPr>
        <w:rPr>
          <w:rFonts w:ascii="Arial" w:hAnsi="Arial" w:cs="Arial"/>
          <w:color w:val="595959" w:themeColor="text1" w:themeTint="A6"/>
        </w:rPr>
      </w:pPr>
      <w:r w:rsidRPr="00223224">
        <w:rPr>
          <w:rFonts w:ascii="Arial" w:hAnsi="Arial" w:cs="Arial"/>
          <w:color w:val="595959" w:themeColor="text1" w:themeTint="A6"/>
        </w:rPr>
        <w:tab/>
        <w:t>Es importante destacar, que la rendición de cuentas se encuentra íntimamente relacionada con el principio de máxima publicidad, que conlleva realizar un manejo de la información bajo la premisa inicial de que toda ella es pública y sólo por excepción, en los casos expresamente previstos en la legislación secundaria y justificados bajo determinadas circunstancias, se podrá clasificar como confidencial o reservada. Para reforzar lo anterior, se invoca el criterio sustentado por el Cuarto Tribunal Colegiado en Materia Administrativa del Primer Circuito en la tesis aislada I.4o.A.40 A (10a.), misma que establece:</w:t>
      </w:r>
    </w:p>
    <w:p w:rsidR="00FB18C1" w:rsidRPr="00223224" w:rsidRDefault="00FB18C1" w:rsidP="00FB18C1">
      <w:pPr>
        <w:spacing w:before="240" w:line="240" w:lineRule="auto"/>
        <w:ind w:left="851" w:firstLine="851"/>
        <w:rPr>
          <w:rFonts w:ascii="Arial" w:hAnsi="Arial" w:cs="Arial"/>
          <w:b/>
          <w:i/>
          <w:color w:val="595959" w:themeColor="text1" w:themeTint="A6"/>
          <w:sz w:val="21"/>
          <w:szCs w:val="21"/>
        </w:rPr>
      </w:pPr>
      <w:r w:rsidRPr="00223224">
        <w:rPr>
          <w:rFonts w:ascii="Arial" w:hAnsi="Arial" w:cs="Arial"/>
          <w:b/>
          <w:i/>
          <w:color w:val="595959" w:themeColor="text1" w:themeTint="A6"/>
          <w:sz w:val="21"/>
          <w:szCs w:val="21"/>
        </w:rPr>
        <w:t>ACCESO A LA INFORMACIÓN. IMPLICACIÓN DEL PRINCIPIO DE MÁXIMA PUBLICIDAD EN EL DERECHO FUNDAMENTAL RELATIVO.</w:t>
      </w:r>
    </w:p>
    <w:p w:rsidR="00FB18C1" w:rsidRPr="00223224" w:rsidRDefault="00FB18C1" w:rsidP="00FB18C1">
      <w:pPr>
        <w:spacing w:line="240" w:lineRule="auto"/>
        <w:ind w:left="851" w:firstLine="851"/>
        <w:rPr>
          <w:rFonts w:ascii="Arial" w:hAnsi="Arial" w:cs="Arial"/>
          <w:i/>
          <w:color w:val="595959" w:themeColor="text1" w:themeTint="A6"/>
          <w:sz w:val="21"/>
          <w:szCs w:val="21"/>
        </w:rPr>
      </w:pPr>
    </w:p>
    <w:p w:rsidR="00FB18C1" w:rsidRPr="00223224" w:rsidRDefault="00FB18C1" w:rsidP="00FB18C1">
      <w:pPr>
        <w:spacing w:line="240" w:lineRule="auto"/>
        <w:ind w:left="851" w:firstLine="851"/>
        <w:rPr>
          <w:rFonts w:ascii="Arial" w:hAnsi="Arial" w:cs="Arial"/>
          <w:i/>
          <w:color w:val="595959" w:themeColor="text1" w:themeTint="A6"/>
          <w:sz w:val="21"/>
          <w:szCs w:val="21"/>
        </w:rPr>
      </w:pPr>
      <w:r w:rsidRPr="00223224">
        <w:rPr>
          <w:rFonts w:ascii="Arial" w:hAnsi="Arial" w:cs="Arial"/>
          <w:i/>
          <w:color w:val="595959" w:themeColor="text1" w:themeTint="A6"/>
          <w:sz w:val="21"/>
          <w:szCs w:val="21"/>
        </w:rPr>
        <w:t>Del artículo </w:t>
      </w:r>
      <w:hyperlink r:id="rId13" w:history="1">
        <w:r w:rsidRPr="00223224">
          <w:rPr>
            <w:rStyle w:val="Hipervnculo"/>
            <w:rFonts w:ascii="Arial" w:hAnsi="Arial" w:cs="Arial"/>
            <w:i/>
            <w:color w:val="595959" w:themeColor="text1" w:themeTint="A6"/>
            <w:sz w:val="21"/>
            <w:szCs w:val="21"/>
          </w:rPr>
          <w:t>6o. de la Constitución Política de los Estados Unidos Mexicanos</w:t>
        </w:r>
      </w:hyperlink>
      <w:r w:rsidRPr="00223224">
        <w:rPr>
          <w:rFonts w:ascii="Arial" w:hAnsi="Arial" w:cs="Arial"/>
          <w:i/>
          <w:color w:val="595959" w:themeColor="text1" w:themeTint="A6"/>
          <w:sz w:val="21"/>
          <w:szCs w:val="21"/>
        </w:rPr>
        <w:t> se advierte que el Estado Mexicano está constreñido a publicitar sus actos, pues se reconoce el derecho fundamental de los ciudadanos a acceder a la información que obra en poder de la autoridad, que como lo ha expuesto el Pleno de la Suprema Corte de Justicia de la Nación en la tesis P./J. 54/2008, publicada en el Semanario Judicial de la Federación y su Gaceta, Novena Época, Tomo XXVII, junio de 2008, página 743, de rubro: "</w:t>
      </w:r>
      <w:hyperlink r:id="rId14" w:tgtFrame="_popup" w:history="1">
        <w:r w:rsidRPr="00223224">
          <w:rPr>
            <w:rStyle w:val="Hipervnculo"/>
            <w:rFonts w:ascii="Arial" w:hAnsi="Arial" w:cs="Arial"/>
            <w:i/>
            <w:color w:val="595959" w:themeColor="text1" w:themeTint="A6"/>
            <w:sz w:val="21"/>
            <w:szCs w:val="21"/>
          </w:rPr>
          <w:t>ACCESO A LA INFORMACIÓN. SU NATURALEZA COMO GARANTÍAS INDIVIDUAL Y SOCIAL</w:t>
        </w:r>
      </w:hyperlink>
      <w:r w:rsidRPr="00223224">
        <w:rPr>
          <w:rFonts w:ascii="Arial" w:hAnsi="Arial" w:cs="Arial"/>
          <w:i/>
          <w:color w:val="595959" w:themeColor="text1" w:themeTint="A6"/>
          <w:sz w:val="21"/>
          <w:szCs w:val="21"/>
        </w:rPr>
        <w:t>.", contiene una doble dimensión: individual y social. En su primer aspecto, cumple con la función de maximizar el campo de la autonomía personal, posibilitando el ejercicio de la libertad de expresión en un contexto de mayor diversidad de datos, voces y opiniones, mientras que en el segundo, brinda un derecho colectivo o social que tiende a revelar el empleo instrumental de la información no sólo como factor de autorrealización personal, sino como un mecanismo de control institucional, pues se trata de un derecho fundado en una de las características principales del gobierno republicano, que es la publicidad de los actos de gobierno y la transparencia en el actuar de la administración, conducente y necesaria para la rendición de cuentas. Por ello, el principio de máxima publicidad incorporado en el texto constitucional, implica para cualquier autoridad, realizar un manejo de la información bajo la premisa inicial que toda ella es pública y sólo por excepción, en los casos expresamente previstos en la legislación secundaria y justificados bajo determinadas circunstancias, se podrá clasificar como confidencial o reservada, esto es, considerarla con una calidad diversa.</w:t>
      </w:r>
    </w:p>
    <w:p w:rsidR="00FB18C1" w:rsidRPr="00223224" w:rsidRDefault="00FB18C1" w:rsidP="00FB18C1">
      <w:pPr>
        <w:pStyle w:val="Textoindependienteprimerasangra"/>
        <w:spacing w:before="240"/>
        <w:ind w:firstLine="900"/>
        <w:rPr>
          <w:rFonts w:ascii="Arial" w:hAnsi="Arial" w:cs="Arial"/>
          <w:color w:val="595959" w:themeColor="text1" w:themeTint="A6"/>
          <w:lang w:val="es-MX"/>
        </w:rPr>
      </w:pPr>
      <w:r w:rsidRPr="00223224">
        <w:rPr>
          <w:rFonts w:ascii="Arial" w:hAnsi="Arial" w:cs="Arial"/>
          <w:color w:val="595959" w:themeColor="text1" w:themeTint="A6"/>
          <w:lang w:val="es-MX"/>
        </w:rPr>
        <w:t xml:space="preserve">Por lo anteriormente señalado, es de precisar que de conformidad con el artículo 11 de la Ley de Transparencia y Acceso a la Información Pública del Estado, toda la información en posesión de los sujetos obligados será pública, completa, oportuna, accesible, sujeta a un claro régimen de excepciones que deberán estar definidas y ser, además, legítimas y estrictamente necesarias. Para el caso de estar ante la </w:t>
      </w:r>
      <w:r w:rsidRPr="00223224">
        <w:rPr>
          <w:rFonts w:ascii="Arial" w:hAnsi="Arial" w:cs="Arial"/>
          <w:color w:val="595959" w:themeColor="text1" w:themeTint="A6"/>
          <w:lang w:val="es-MX"/>
        </w:rPr>
        <w:lastRenderedPageBreak/>
        <w:t xml:space="preserve">presencia de una salvedad (clasificación o inexistencia) se deberá demostrar que la información está prevista con tal carácter a través de la justificación correspondiente. Para reforzar, resulta pertinente citar la tesis aislada </w:t>
      </w:r>
      <w:r w:rsidRPr="00223224">
        <w:rPr>
          <w:rFonts w:ascii="Arial" w:hAnsi="Arial" w:cs="Arial"/>
          <w:color w:val="595959" w:themeColor="text1" w:themeTint="A6"/>
        </w:rPr>
        <w:t>1a. VIII/2012 (10a.) en</w:t>
      </w:r>
      <w:r w:rsidRPr="00223224">
        <w:rPr>
          <w:rFonts w:ascii="Arial" w:hAnsi="Arial" w:cs="Arial"/>
          <w:color w:val="595959" w:themeColor="text1" w:themeTint="A6"/>
          <w:lang w:val="es-MX"/>
        </w:rPr>
        <w:t xml:space="preserve"> materia constitucional emitida por la Primera Sala de la Suprema Corte de Justicia de la Nación, que establece:</w:t>
      </w:r>
    </w:p>
    <w:p w:rsidR="00FB18C1" w:rsidRPr="00223224" w:rsidRDefault="00FB18C1" w:rsidP="00FB18C1">
      <w:pPr>
        <w:spacing w:line="240" w:lineRule="auto"/>
        <w:ind w:left="851" w:firstLine="851"/>
        <w:rPr>
          <w:rFonts w:ascii="Arial" w:hAnsi="Arial" w:cs="Arial"/>
          <w:b/>
          <w:i/>
          <w:color w:val="595959" w:themeColor="text1" w:themeTint="A6"/>
          <w:sz w:val="21"/>
          <w:szCs w:val="21"/>
        </w:rPr>
      </w:pPr>
      <w:r w:rsidRPr="00223224">
        <w:rPr>
          <w:rFonts w:ascii="Arial" w:hAnsi="Arial" w:cs="Arial"/>
          <w:b/>
          <w:i/>
          <w:color w:val="595959" w:themeColor="text1" w:themeTint="A6"/>
          <w:sz w:val="21"/>
          <w:szCs w:val="21"/>
        </w:rPr>
        <w:t>“INFORMACIÓN RESERVADA. LÍMITE AL DERECHO DE ACCESO A LA INFORMACIÓN (LEY FEDERAL DE TRANSPARENCIA Y ACCESO A LA INFORMACIÓN PÚBLICA GUBERNAMENTAL).</w:t>
      </w:r>
    </w:p>
    <w:p w:rsidR="00FB18C1" w:rsidRPr="00223224" w:rsidRDefault="00FB18C1" w:rsidP="00FB18C1">
      <w:pPr>
        <w:spacing w:line="240" w:lineRule="auto"/>
        <w:ind w:left="851" w:firstLine="851"/>
        <w:rPr>
          <w:rFonts w:ascii="Arial" w:hAnsi="Arial" w:cs="Arial"/>
          <w:b/>
          <w:i/>
          <w:color w:val="595959" w:themeColor="text1" w:themeTint="A6"/>
          <w:sz w:val="21"/>
          <w:szCs w:val="21"/>
        </w:rPr>
      </w:pPr>
    </w:p>
    <w:p w:rsidR="00FB18C1" w:rsidRPr="00223224" w:rsidRDefault="00FB18C1" w:rsidP="00FB18C1">
      <w:pPr>
        <w:spacing w:line="240" w:lineRule="auto"/>
        <w:ind w:left="851" w:firstLine="851"/>
        <w:rPr>
          <w:rFonts w:ascii="Arial" w:hAnsi="Arial" w:cs="Arial"/>
          <w:i/>
          <w:color w:val="595959" w:themeColor="text1" w:themeTint="A6"/>
          <w:sz w:val="21"/>
          <w:szCs w:val="21"/>
        </w:rPr>
      </w:pPr>
      <w:r w:rsidRPr="00223224">
        <w:rPr>
          <w:rFonts w:ascii="Arial" w:hAnsi="Arial" w:cs="Arial"/>
          <w:i/>
          <w:color w:val="595959" w:themeColor="text1" w:themeTint="A6"/>
          <w:sz w:val="21"/>
          <w:szCs w:val="21"/>
        </w:rPr>
        <w:t>Las </w:t>
      </w:r>
      <w:hyperlink r:id="rId15" w:history="1">
        <w:r w:rsidRPr="00223224">
          <w:rPr>
            <w:rStyle w:val="Hipervnculo"/>
            <w:rFonts w:ascii="Arial" w:hAnsi="Arial" w:cs="Arial"/>
            <w:i/>
            <w:color w:val="595959" w:themeColor="text1" w:themeTint="A6"/>
            <w:sz w:val="21"/>
            <w:szCs w:val="21"/>
          </w:rPr>
          <w:t>fracciones I y II del segundo párrafo del artículo 6o. de la Constitución Política de los Estados Unidos Mexicanos</w:t>
        </w:r>
      </w:hyperlink>
      <w:r w:rsidRPr="00223224">
        <w:rPr>
          <w:rFonts w:ascii="Arial" w:hAnsi="Arial" w:cs="Arial"/>
          <w:i/>
          <w:color w:val="595959" w:themeColor="text1" w:themeTint="A6"/>
          <w:sz w:val="21"/>
          <w:szCs w:val="21"/>
        </w:rPr>
        <w:t>, establecen que el derecho de acceso a la información puede limitarse en virtud del interés público y de la vida privada y los datos personales. Dichas fracciones sólo enuncian los fines constitucionalmente válidos o legítimos para establecer limitaciones al citado derecho, sin embargo, ambas remiten a la legislación secundaria para el desarrollo de los supuestos específicos en que procedan las excepciones que busquen proteger los bienes constitucionales enunciados como límites al derecho de acceso a la información. Así, en cumplimiento al mandato constitucional, la Ley Federal de Transparencia y Acceso a la Información Pública Gubernamental establece dos criterios bajo los cuales la información podrá clasificarse y, con ello, limitar el acceso de los particulares a la misma: el de información confidencial y el de información reservada. En lo que respecta al límite previsto en la Constitución, referente a la protección del interés público, los artículos </w:t>
      </w:r>
      <w:hyperlink r:id="rId16" w:history="1">
        <w:r w:rsidRPr="00223224">
          <w:rPr>
            <w:rStyle w:val="Hipervnculo"/>
            <w:rFonts w:ascii="Arial" w:hAnsi="Arial" w:cs="Arial"/>
            <w:i/>
            <w:color w:val="595959" w:themeColor="text1" w:themeTint="A6"/>
            <w:sz w:val="21"/>
            <w:szCs w:val="21"/>
          </w:rPr>
          <w:t>13 y 14</w:t>
        </w:r>
      </w:hyperlink>
      <w:r w:rsidRPr="00223224">
        <w:rPr>
          <w:rFonts w:ascii="Arial" w:hAnsi="Arial" w:cs="Arial"/>
          <w:i/>
          <w:color w:val="595959" w:themeColor="text1" w:themeTint="A6"/>
          <w:sz w:val="21"/>
          <w:szCs w:val="21"/>
        </w:rPr>
        <w:t> de la ley establecieron como criterio de clasificación el de información reservada. El primero de los artículos citados establece un catálogo genérico de lineamientos bajo los cuales deberá reservarse la información, lo cual procederá cuando la difusión de la información pueda: 1) comprometer la seguridad nacional, la seguridad pública o la defensa nacional; 2) menoscabar negociaciones o relaciones internacionales; 3) dañar la estabilidad financiera, económica o monetaria del país; 4) poner en riesgo la vida, seguridad o salud de alguna persona; o 5) causar perjuicio al cumplimiento de las leyes, prevención o verificación de delitos, impartición de justicia, recaudación de contribuciones, control migratorio o a las estrategias procesales en procedimientos jurisdiccionales, mientras las resoluciones no causen estado. Por otro lado, con un enfoque más preciso que descriptivo, el artículo 14 de la Ley Federal de Transparencia y Acceso a la Información Pública Gubernamental contiene un catálogo ya no genérico, sino específico, de supuestos en los cuales la información también se considerará reservada: 1) la que expresamente se clasifique como confidencial, reservada, comercial reservada o gubernamental reservada; 2) secretos comercial, industrial, fiscal, bancario, fiduciario u otros; 3) averiguaciones previas; 4) expedientes jurisdiccionales que no hayan causado estado; 5) procedimientos de responsabilidad administrativa sin resolución definitiva; o 6) la que contenga opiniones, recomendaciones o puntos de vista de servidores públicos y que formen parte de un proceso deliberativo en el cual aún no se hubiese adoptado una decisión definitiva. Como evidencia el listado anterior, la ley enunció en su artículo 14 supuestos que, si bien pueden clasificarse dentro de los lineamientos genéricos establecidos en el artículo 13, el legislador quiso destacar de modo que no se presentasen dudas respecto a la necesidad de considerarlos como información reservada”.</w:t>
      </w:r>
    </w:p>
    <w:p w:rsidR="00FB18C1" w:rsidRPr="00223224" w:rsidRDefault="00FB18C1" w:rsidP="00FB18C1">
      <w:pPr>
        <w:pStyle w:val="Prrafodelista"/>
        <w:shd w:val="clear" w:color="auto" w:fill="FFFFFF"/>
        <w:spacing w:before="240" w:after="240"/>
        <w:ind w:left="0"/>
        <w:rPr>
          <w:rFonts w:ascii="Arial" w:hAnsi="Arial" w:cs="Arial"/>
          <w:color w:val="595959" w:themeColor="text1" w:themeTint="A6"/>
          <w:szCs w:val="26"/>
          <w:lang w:val="es-MX" w:eastAsia="en-US"/>
        </w:rPr>
      </w:pPr>
      <w:r w:rsidRPr="00223224">
        <w:rPr>
          <w:rFonts w:ascii="Arial" w:hAnsi="Arial" w:cs="Arial"/>
          <w:color w:val="595959" w:themeColor="text1" w:themeTint="A6"/>
        </w:rPr>
        <w:tab/>
      </w:r>
      <w:r w:rsidRPr="00223224">
        <w:rPr>
          <w:rFonts w:ascii="Arial" w:hAnsi="Arial" w:cs="Arial"/>
          <w:color w:val="595959" w:themeColor="text1" w:themeTint="A6"/>
          <w:szCs w:val="26"/>
        </w:rPr>
        <w:t xml:space="preserve">De lo expuesto, se puede advertir que en la concepción de la transparencia en México el principio marco en este derecho es el de </w:t>
      </w:r>
      <w:r w:rsidRPr="00223224">
        <w:rPr>
          <w:rFonts w:ascii="Arial" w:hAnsi="Arial" w:cs="Arial"/>
          <w:b/>
          <w:color w:val="595959" w:themeColor="text1" w:themeTint="A6"/>
          <w:szCs w:val="26"/>
          <w:u w:val="single"/>
        </w:rPr>
        <w:lastRenderedPageBreak/>
        <w:t>máxima publicidad</w:t>
      </w:r>
      <w:r w:rsidRPr="00223224">
        <w:rPr>
          <w:rFonts w:ascii="Arial" w:hAnsi="Arial" w:cs="Arial"/>
          <w:color w:val="595959" w:themeColor="text1" w:themeTint="A6"/>
          <w:szCs w:val="26"/>
        </w:rPr>
        <w:t xml:space="preserve"> o</w:t>
      </w:r>
      <w:r w:rsidRPr="00223224">
        <w:rPr>
          <w:rFonts w:ascii="Arial" w:hAnsi="Arial" w:cs="Arial"/>
          <w:color w:val="595959" w:themeColor="text1" w:themeTint="A6"/>
          <w:szCs w:val="26"/>
          <w:lang w:val="es-MX" w:eastAsia="en-US"/>
        </w:rPr>
        <w:t xml:space="preserve"> de </w:t>
      </w:r>
      <w:r w:rsidRPr="00223224">
        <w:rPr>
          <w:rFonts w:ascii="Arial" w:hAnsi="Arial" w:cs="Arial"/>
          <w:b/>
          <w:color w:val="595959" w:themeColor="text1" w:themeTint="A6"/>
          <w:szCs w:val="26"/>
          <w:u w:val="single"/>
          <w:lang w:val="es-MX" w:eastAsia="en-US"/>
        </w:rPr>
        <w:t>máxima divulgación,</w:t>
      </w:r>
      <w:r w:rsidRPr="00223224">
        <w:rPr>
          <w:rFonts w:ascii="Arial" w:hAnsi="Arial" w:cs="Arial"/>
          <w:color w:val="595959" w:themeColor="text1" w:themeTint="A6"/>
          <w:szCs w:val="26"/>
          <w:lang w:val="es-MX" w:eastAsia="en-US"/>
        </w:rPr>
        <w:t xml:space="preserve"> el cual ha sido reconocido en el sistema interamericano como un principio rector del derecho a buscar, recibir y difundir información, contenido en el artículo 13 de la Convención Americana. En este sentido, la Corte Interamericana ha establecido en su jurisprudencia que, “en una sociedad democrática es indispensable que las autoridades estatales se rijan por el principio de máxima divulgación” de modo que “toda la información en poder del Estado se presuma pública y accesible, sometida a un régimen limitado de excepciones”. En idéntico sentido, la Comisión Interamericana de  Derechos Humanos ha explicado que, en virtud del artículo 13 de citada convención, el derecho de acceso a la información se debe regir por el principio de máxima divulgación. Asimismo, el numeral 1 de la Resolución CJI/RES.147 (LXXIII</w:t>
      </w:r>
      <w:r w:rsidRPr="00223224">
        <w:rPr>
          <w:rFonts w:ascii="Calibri" w:hAnsi="Calibri" w:cs="Arial"/>
          <w:color w:val="595959" w:themeColor="text1" w:themeTint="A6"/>
          <w:szCs w:val="26"/>
          <w:lang w:val="es-MX" w:eastAsia="en-US"/>
        </w:rPr>
        <w:t>‐</w:t>
      </w:r>
      <w:r w:rsidRPr="00223224">
        <w:rPr>
          <w:rFonts w:ascii="Arial" w:hAnsi="Arial" w:cs="Arial"/>
          <w:color w:val="595959" w:themeColor="text1" w:themeTint="A6"/>
          <w:szCs w:val="26"/>
          <w:lang w:val="es-MX" w:eastAsia="en-US"/>
        </w:rPr>
        <w:t>O/08) (“Principios sobre el Derecho de Acceso a la Información”) del Comité Jurídico Interamericano ha establecido que, “[t]oda información es accesible en principio. El acceso a la información es un derecho humano fundamental que establece que toda persona puede acceder a la información en posesión de órganos públicos, sujeto sólo a un régimen limitado de excepciones</w:t>
      </w:r>
      <w:r w:rsidRPr="00223224">
        <w:rPr>
          <w:rStyle w:val="Refdenotaalpie"/>
          <w:rFonts w:ascii="Arial" w:hAnsi="Arial" w:cs="Arial"/>
          <w:color w:val="595959" w:themeColor="text1" w:themeTint="A6"/>
          <w:szCs w:val="26"/>
          <w:lang w:val="es-MX" w:eastAsia="en-US"/>
        </w:rPr>
        <w:footnoteReference w:id="1"/>
      </w:r>
      <w:r w:rsidRPr="00223224">
        <w:rPr>
          <w:rFonts w:ascii="Arial" w:hAnsi="Arial" w:cs="Arial"/>
          <w:color w:val="595959" w:themeColor="text1" w:themeTint="A6"/>
          <w:szCs w:val="26"/>
          <w:lang w:val="es-MX" w:eastAsia="en-US"/>
        </w:rPr>
        <w:t>.</w:t>
      </w:r>
    </w:p>
    <w:p w:rsidR="00FB18C1" w:rsidRPr="00223224" w:rsidRDefault="00FB18C1" w:rsidP="00FB18C1">
      <w:pPr>
        <w:pStyle w:val="Prrafodelista"/>
        <w:shd w:val="clear" w:color="auto" w:fill="FFFFFF"/>
        <w:spacing w:before="240" w:after="240" w:line="276" w:lineRule="auto"/>
        <w:ind w:left="0"/>
        <w:rPr>
          <w:rFonts w:ascii="Arial" w:hAnsi="Arial" w:cs="Arial"/>
          <w:color w:val="595959" w:themeColor="text1" w:themeTint="A6"/>
          <w:szCs w:val="26"/>
          <w:lang w:val="es-MX" w:eastAsia="en-US"/>
        </w:rPr>
      </w:pPr>
    </w:p>
    <w:p w:rsidR="00FB18C1" w:rsidRPr="00223224" w:rsidRDefault="00FB18C1" w:rsidP="00FB18C1">
      <w:pPr>
        <w:pStyle w:val="Prrafodelista"/>
        <w:shd w:val="clear" w:color="auto" w:fill="FFFFFF"/>
        <w:spacing w:after="240"/>
        <w:ind w:left="0"/>
        <w:rPr>
          <w:rFonts w:ascii="Arial" w:hAnsi="Arial" w:cs="Arial"/>
          <w:color w:val="595959" w:themeColor="text1" w:themeTint="A6"/>
          <w:szCs w:val="26"/>
          <w:lang w:val="es-MX" w:eastAsia="en-US"/>
        </w:rPr>
      </w:pPr>
      <w:r w:rsidRPr="00223224">
        <w:rPr>
          <w:rFonts w:ascii="Arial" w:hAnsi="Arial" w:cs="Arial"/>
          <w:color w:val="595959" w:themeColor="text1" w:themeTint="A6"/>
          <w:szCs w:val="26"/>
          <w:lang w:val="es-MX" w:eastAsia="en-US"/>
        </w:rPr>
        <w:tab/>
        <w:t>En armonía con lo anterior, es de precisar que el artículo 129 de la Ley de Transparencia y Acceso a la Información Pública del Estado establece las hipótesis por las cuales se podrá reservar la información en posesión de las autoridades y para acreditar que las mismas se actualizan debe concurrir un estudio que, de manera fundada y motivada acredite la afectación al interés público tutelado por la excepción.</w:t>
      </w:r>
    </w:p>
    <w:p w:rsidR="00FB18C1" w:rsidRPr="00223224" w:rsidRDefault="00FB18C1" w:rsidP="00FB18C1">
      <w:pPr>
        <w:pStyle w:val="Textoindependienteprimerasangra"/>
        <w:spacing w:before="240"/>
        <w:ind w:firstLine="900"/>
        <w:rPr>
          <w:rFonts w:ascii="Arial" w:hAnsi="Arial" w:cs="Arial"/>
          <w:color w:val="595959" w:themeColor="text1" w:themeTint="A6"/>
          <w:lang w:val="es-MX"/>
        </w:rPr>
      </w:pPr>
      <w:r w:rsidRPr="00223224">
        <w:rPr>
          <w:rFonts w:ascii="Arial" w:hAnsi="Arial" w:cs="Arial"/>
          <w:color w:val="595959" w:themeColor="text1" w:themeTint="A6"/>
          <w:lang w:val="es-MX"/>
        </w:rPr>
        <w:t xml:space="preserve">En el presente asunto, el sujeto obligado </w:t>
      </w:r>
      <w:r w:rsidR="00440BA7" w:rsidRPr="00223224">
        <w:rPr>
          <w:rFonts w:ascii="Arial" w:hAnsi="Arial" w:cs="Arial"/>
          <w:color w:val="595959" w:themeColor="text1" w:themeTint="A6"/>
          <w:lang w:val="es-MX"/>
        </w:rPr>
        <w:t>no señaló de manera explicara</w:t>
      </w:r>
      <w:r w:rsidR="00624600" w:rsidRPr="00223224">
        <w:rPr>
          <w:rFonts w:ascii="Arial" w:hAnsi="Arial" w:cs="Arial"/>
          <w:color w:val="595959" w:themeColor="text1" w:themeTint="A6"/>
          <w:lang w:val="es-MX"/>
        </w:rPr>
        <w:t xml:space="preserve"> </w:t>
      </w:r>
      <w:r w:rsidR="00440BA7" w:rsidRPr="00223224">
        <w:rPr>
          <w:rFonts w:ascii="Arial" w:hAnsi="Arial" w:cs="Arial"/>
          <w:color w:val="595959" w:themeColor="text1" w:themeTint="A6"/>
          <w:lang w:val="es-MX"/>
        </w:rPr>
        <w:t xml:space="preserve"> el porqué la reserva que llevó a cabo, aunado a que</w:t>
      </w:r>
      <w:r w:rsidRPr="00223224">
        <w:rPr>
          <w:rFonts w:ascii="Arial" w:hAnsi="Arial" w:cs="Arial"/>
          <w:color w:val="595959" w:themeColor="text1" w:themeTint="A6"/>
          <w:lang w:val="es-MX"/>
        </w:rPr>
        <w:t xml:space="preserve"> no consta que, conforme a la prueba de daño, justificara los extremos a que aluden </w:t>
      </w:r>
      <w:r w:rsidRPr="00223224">
        <w:rPr>
          <w:rFonts w:ascii="Arial" w:hAnsi="Arial" w:cs="Arial"/>
          <w:color w:val="595959" w:themeColor="text1" w:themeTint="A6"/>
          <w:lang w:val="es-MX"/>
        </w:rPr>
        <w:lastRenderedPageBreak/>
        <w:t>los artículos 117 y 118 de la Ley de Transparencia y Acceso a la Información Pública del Estado, mismos que establecen:</w:t>
      </w:r>
    </w:p>
    <w:p w:rsidR="00FB18C1" w:rsidRPr="00223224" w:rsidRDefault="00FB18C1" w:rsidP="00FB18C1">
      <w:pPr>
        <w:pStyle w:val="Textoindependienteprimerasangra"/>
        <w:spacing w:after="0" w:line="240" w:lineRule="auto"/>
        <w:ind w:left="851" w:firstLine="900"/>
        <w:rPr>
          <w:rFonts w:ascii="Arial" w:hAnsi="Arial" w:cs="Arial"/>
          <w:i/>
          <w:color w:val="595959" w:themeColor="text1" w:themeTint="A6"/>
          <w:sz w:val="20"/>
          <w:szCs w:val="20"/>
        </w:rPr>
      </w:pPr>
      <w:r w:rsidRPr="00223224">
        <w:rPr>
          <w:rFonts w:ascii="Arial" w:hAnsi="Arial" w:cs="Arial"/>
          <w:i/>
          <w:color w:val="595959" w:themeColor="text1" w:themeTint="A6"/>
          <w:sz w:val="20"/>
          <w:szCs w:val="20"/>
        </w:rPr>
        <w:t xml:space="preserve">ARTÍCULO 117. En los casos en que se niegue el acceso a la información, por actualizarse alguno de los supuestos de clasificación, el Comité de Transparencia deberá confirmar, modificar o revocar la decisión. </w:t>
      </w:r>
    </w:p>
    <w:p w:rsidR="00FB18C1" w:rsidRPr="00223224" w:rsidRDefault="00FB18C1" w:rsidP="00FB18C1">
      <w:pPr>
        <w:pStyle w:val="Textoindependienteprimerasangra"/>
        <w:spacing w:after="0" w:line="240" w:lineRule="auto"/>
        <w:ind w:left="851" w:firstLine="900"/>
        <w:rPr>
          <w:rFonts w:ascii="Arial" w:hAnsi="Arial" w:cs="Arial"/>
          <w:i/>
          <w:color w:val="595959" w:themeColor="text1" w:themeTint="A6"/>
          <w:sz w:val="20"/>
          <w:szCs w:val="20"/>
        </w:rPr>
      </w:pPr>
      <w:r w:rsidRPr="00223224">
        <w:rPr>
          <w:rFonts w:ascii="Arial" w:hAnsi="Arial" w:cs="Arial"/>
          <w:i/>
          <w:color w:val="595959" w:themeColor="text1" w:themeTint="A6"/>
          <w:sz w:val="20"/>
          <w:szCs w:val="20"/>
        </w:rPr>
        <w:t xml:space="preserve">Para motivar la clasificación de la información y la ampliación del plazo de reserva, se deberán señalar las razones, motivos o circunstancias especiales que llevaron al sujeto obligado a concluir que el caso particular se ajusta al supuesto previsto por la norma legal invocada como fundamento. </w:t>
      </w:r>
    </w:p>
    <w:p w:rsidR="00FB18C1" w:rsidRPr="00223224" w:rsidRDefault="00FB18C1" w:rsidP="00FB18C1">
      <w:pPr>
        <w:pStyle w:val="Textoindependienteprimerasangra"/>
        <w:spacing w:after="0" w:line="240" w:lineRule="auto"/>
        <w:ind w:left="851" w:firstLine="900"/>
        <w:rPr>
          <w:rFonts w:ascii="Arial" w:hAnsi="Arial" w:cs="Arial"/>
          <w:i/>
          <w:color w:val="595959" w:themeColor="text1" w:themeTint="A6"/>
          <w:sz w:val="20"/>
          <w:szCs w:val="20"/>
          <w:lang w:val="es-MX"/>
        </w:rPr>
      </w:pPr>
      <w:r w:rsidRPr="00223224">
        <w:rPr>
          <w:rFonts w:ascii="Arial" w:hAnsi="Arial" w:cs="Arial"/>
          <w:i/>
          <w:color w:val="595959" w:themeColor="text1" w:themeTint="A6"/>
          <w:sz w:val="20"/>
          <w:szCs w:val="20"/>
        </w:rPr>
        <w:t>Además, el sujeto obligado deberá, en todo momento, aplicar una prueba de daño. Tratándose de aquella información que actualice los supuestos de clasificación, deberá señalarse el plazo al que estará sujeto la reserva.</w:t>
      </w:r>
    </w:p>
    <w:p w:rsidR="00FB18C1" w:rsidRPr="00223224" w:rsidRDefault="00FB18C1" w:rsidP="00FB18C1">
      <w:pPr>
        <w:pStyle w:val="Textoindependienteprimerasangra"/>
        <w:spacing w:after="0" w:line="240" w:lineRule="auto"/>
        <w:ind w:left="851" w:firstLine="900"/>
        <w:rPr>
          <w:rFonts w:ascii="Arial" w:hAnsi="Arial" w:cs="Arial"/>
          <w:i/>
          <w:color w:val="595959" w:themeColor="text1" w:themeTint="A6"/>
          <w:sz w:val="20"/>
          <w:szCs w:val="20"/>
        </w:rPr>
      </w:pPr>
      <w:r w:rsidRPr="00223224">
        <w:rPr>
          <w:rFonts w:ascii="Arial" w:hAnsi="Arial" w:cs="Arial"/>
          <w:i/>
          <w:color w:val="595959" w:themeColor="text1" w:themeTint="A6"/>
          <w:sz w:val="20"/>
          <w:szCs w:val="20"/>
        </w:rPr>
        <w:t xml:space="preserve">“ARTÍCULO 118. En la aplicación de la prueba de daño, el sujeto obligado deberá justificar que: </w:t>
      </w:r>
    </w:p>
    <w:p w:rsidR="00FB18C1" w:rsidRPr="00223224" w:rsidRDefault="00FB18C1" w:rsidP="00FB18C1">
      <w:pPr>
        <w:pStyle w:val="Textoindependienteprimerasangra"/>
        <w:spacing w:after="0" w:line="240" w:lineRule="auto"/>
        <w:ind w:left="851" w:firstLine="900"/>
        <w:rPr>
          <w:rFonts w:ascii="Arial" w:hAnsi="Arial" w:cs="Arial"/>
          <w:i/>
          <w:color w:val="595959" w:themeColor="text1" w:themeTint="A6"/>
          <w:sz w:val="20"/>
          <w:szCs w:val="20"/>
        </w:rPr>
      </w:pPr>
      <w:r w:rsidRPr="00223224">
        <w:rPr>
          <w:rFonts w:ascii="Arial" w:hAnsi="Arial" w:cs="Arial"/>
          <w:i/>
          <w:color w:val="595959" w:themeColor="text1" w:themeTint="A6"/>
          <w:sz w:val="20"/>
          <w:szCs w:val="20"/>
        </w:rPr>
        <w:t xml:space="preserve">I. La divulgación de la información representa un riesgo real, demostrable e identificable de perjuicio significativo al interés público; </w:t>
      </w:r>
    </w:p>
    <w:p w:rsidR="00FB18C1" w:rsidRPr="00223224" w:rsidRDefault="00FB18C1" w:rsidP="00FB18C1">
      <w:pPr>
        <w:pStyle w:val="Textoindependienteprimerasangra"/>
        <w:spacing w:after="0" w:line="240" w:lineRule="auto"/>
        <w:ind w:left="851" w:firstLine="900"/>
        <w:rPr>
          <w:rFonts w:ascii="Arial" w:hAnsi="Arial" w:cs="Arial"/>
          <w:i/>
          <w:color w:val="595959" w:themeColor="text1" w:themeTint="A6"/>
          <w:sz w:val="20"/>
          <w:szCs w:val="20"/>
        </w:rPr>
      </w:pPr>
      <w:r w:rsidRPr="00223224">
        <w:rPr>
          <w:rFonts w:ascii="Arial" w:hAnsi="Arial" w:cs="Arial"/>
          <w:i/>
          <w:color w:val="595959" w:themeColor="text1" w:themeTint="A6"/>
          <w:sz w:val="20"/>
          <w:szCs w:val="20"/>
        </w:rPr>
        <w:t xml:space="preserve">II. El riesgo de perjuicio que supondría la divulgación supera el interés público general de que se difunda, y </w:t>
      </w:r>
    </w:p>
    <w:p w:rsidR="00FB18C1" w:rsidRPr="00223224" w:rsidRDefault="00FB18C1" w:rsidP="00FB18C1">
      <w:pPr>
        <w:pStyle w:val="Textoindependienteprimerasangra"/>
        <w:spacing w:after="0" w:line="240" w:lineRule="auto"/>
        <w:ind w:left="851" w:firstLine="900"/>
        <w:rPr>
          <w:rFonts w:ascii="Arial" w:hAnsi="Arial" w:cs="Arial"/>
          <w:i/>
          <w:color w:val="595959" w:themeColor="text1" w:themeTint="A6"/>
          <w:sz w:val="20"/>
          <w:szCs w:val="20"/>
        </w:rPr>
      </w:pPr>
      <w:r w:rsidRPr="00223224">
        <w:rPr>
          <w:rFonts w:ascii="Arial" w:hAnsi="Arial" w:cs="Arial"/>
          <w:i/>
          <w:color w:val="595959" w:themeColor="text1" w:themeTint="A6"/>
          <w:sz w:val="20"/>
          <w:szCs w:val="20"/>
        </w:rPr>
        <w:t>III. La limitación se adecua al principio de proporcionalidad y representa el medio menos restrictivo disponible para evitar el perjuicio”.</w:t>
      </w:r>
    </w:p>
    <w:p w:rsidR="00FB18C1" w:rsidRPr="00223224" w:rsidRDefault="00FB18C1" w:rsidP="00FB18C1">
      <w:pPr>
        <w:spacing w:before="240"/>
        <w:rPr>
          <w:rFonts w:ascii="Arial" w:hAnsi="Arial" w:cs="Arial"/>
          <w:color w:val="595959" w:themeColor="text1" w:themeTint="A6"/>
          <w:szCs w:val="26"/>
          <w:lang w:val="es-MX"/>
        </w:rPr>
      </w:pPr>
      <w:r w:rsidRPr="00223224">
        <w:rPr>
          <w:rFonts w:ascii="Arial" w:hAnsi="Arial" w:cs="Arial"/>
          <w:color w:val="595959" w:themeColor="text1" w:themeTint="A6"/>
        </w:rPr>
        <w:tab/>
      </w:r>
      <w:r w:rsidRPr="00223224">
        <w:rPr>
          <w:rFonts w:ascii="Arial" w:hAnsi="Arial" w:cs="Arial"/>
          <w:color w:val="595959" w:themeColor="text1" w:themeTint="A6"/>
          <w:szCs w:val="26"/>
        </w:rPr>
        <w:t xml:space="preserve">De la interpretación conjunta de los artículos 117, 118, </w:t>
      </w:r>
      <w:r w:rsidRPr="00223224">
        <w:rPr>
          <w:rFonts w:ascii="Arial" w:hAnsi="Arial" w:cs="Arial"/>
          <w:color w:val="595959" w:themeColor="text1" w:themeTint="A6"/>
          <w:szCs w:val="26"/>
          <w:lang w:val="es-MX"/>
        </w:rPr>
        <w:t xml:space="preserve">129 y 130 de la Ley de Transparencia y Acceso a la Información Pública del Estado, se puede advertir que la clasificación, en su modalidad de reservada, es un procedimiento complejo, pues no sólo basta acreditar que se configura las hipótesis de invocadas, sino que además su divulgación represente una afectación </w:t>
      </w:r>
      <w:r w:rsidRPr="00223224">
        <w:rPr>
          <w:rFonts w:ascii="Arial" w:hAnsi="Arial" w:cs="Arial"/>
          <w:color w:val="595959" w:themeColor="text1" w:themeTint="A6"/>
          <w:szCs w:val="26"/>
        </w:rPr>
        <w:t>real, demostrable e identificable de perjuicio significativo al interés público</w:t>
      </w:r>
      <w:r w:rsidRPr="00223224">
        <w:rPr>
          <w:rFonts w:ascii="Arial" w:hAnsi="Arial" w:cs="Arial"/>
          <w:color w:val="595959" w:themeColor="text1" w:themeTint="A6"/>
          <w:szCs w:val="26"/>
          <w:lang w:val="es-MX"/>
        </w:rPr>
        <w:t xml:space="preserve">. </w:t>
      </w:r>
    </w:p>
    <w:p w:rsidR="00FB18C1" w:rsidRPr="00223224" w:rsidRDefault="00FB18C1" w:rsidP="00FB18C1">
      <w:pPr>
        <w:spacing w:before="240"/>
        <w:rPr>
          <w:rFonts w:ascii="Arial" w:hAnsi="Arial" w:cs="Arial"/>
          <w:color w:val="595959" w:themeColor="text1" w:themeTint="A6"/>
          <w:szCs w:val="26"/>
          <w:lang w:val="es-MX"/>
        </w:rPr>
      </w:pPr>
      <w:r w:rsidRPr="00223224">
        <w:rPr>
          <w:rFonts w:ascii="Arial" w:hAnsi="Arial" w:cs="Arial"/>
          <w:color w:val="595959" w:themeColor="text1" w:themeTint="A6"/>
          <w:szCs w:val="26"/>
          <w:lang w:val="es-MX"/>
        </w:rPr>
        <w:tab/>
        <w:t xml:space="preserve">Al caso concreto, </w:t>
      </w:r>
      <w:r w:rsidR="00624600" w:rsidRPr="00223224">
        <w:rPr>
          <w:rFonts w:ascii="Arial" w:hAnsi="Arial" w:cs="Arial"/>
          <w:color w:val="595959" w:themeColor="text1" w:themeTint="A6"/>
          <w:szCs w:val="26"/>
          <w:lang w:val="es-MX"/>
        </w:rPr>
        <w:t xml:space="preserve">del análisis de la resolución adoptada por </w:t>
      </w:r>
      <w:r w:rsidRPr="00223224">
        <w:rPr>
          <w:rFonts w:ascii="Arial" w:hAnsi="Arial" w:cs="Arial"/>
          <w:color w:val="595959" w:themeColor="text1" w:themeTint="A6"/>
          <w:szCs w:val="26"/>
          <w:lang w:val="es-MX"/>
        </w:rPr>
        <w:t xml:space="preserve">el Comité de Transparencia sólo </w:t>
      </w:r>
      <w:r w:rsidR="00624600" w:rsidRPr="00223224">
        <w:rPr>
          <w:rFonts w:ascii="Arial" w:hAnsi="Arial" w:cs="Arial"/>
          <w:color w:val="595959" w:themeColor="text1" w:themeTint="A6"/>
          <w:szCs w:val="26"/>
          <w:lang w:val="es-MX"/>
        </w:rPr>
        <w:t>determinó la clasificación de la información</w:t>
      </w:r>
      <w:r w:rsidRPr="00223224">
        <w:rPr>
          <w:rFonts w:ascii="Arial" w:hAnsi="Arial" w:cs="Arial"/>
          <w:color w:val="595959" w:themeColor="text1" w:themeTint="A6"/>
          <w:szCs w:val="26"/>
          <w:lang w:val="es-MX"/>
        </w:rPr>
        <w:t>, sin que para ello especificara</w:t>
      </w:r>
      <w:r w:rsidR="00624600" w:rsidRPr="00223224">
        <w:rPr>
          <w:rFonts w:ascii="Arial" w:hAnsi="Arial" w:cs="Arial"/>
          <w:color w:val="595959" w:themeColor="text1" w:themeTint="A6"/>
          <w:szCs w:val="26"/>
          <w:lang w:val="es-MX"/>
        </w:rPr>
        <w:t xml:space="preserve"> dentro de la propia resolución</w:t>
      </w:r>
      <w:r w:rsidRPr="00223224">
        <w:rPr>
          <w:rFonts w:ascii="Arial" w:hAnsi="Arial" w:cs="Arial"/>
          <w:color w:val="595959" w:themeColor="text1" w:themeTint="A6"/>
          <w:szCs w:val="26"/>
          <w:lang w:val="es-MX"/>
        </w:rPr>
        <w:t xml:space="preserve"> cual es la afectación que podría resultar de su divulgación y el por qué esta supusiera un afectación al interés público conforme a lo</w:t>
      </w:r>
      <w:r w:rsidR="00624600" w:rsidRPr="00223224">
        <w:rPr>
          <w:rFonts w:ascii="Arial" w:hAnsi="Arial" w:cs="Arial"/>
          <w:color w:val="595959" w:themeColor="text1" w:themeTint="A6"/>
          <w:szCs w:val="26"/>
          <w:lang w:val="es-MX"/>
        </w:rPr>
        <w:t>s extremos de la prueba de daño, m</w:t>
      </w:r>
      <w:r w:rsidRPr="00223224">
        <w:rPr>
          <w:rFonts w:ascii="Arial" w:hAnsi="Arial" w:cs="Arial"/>
          <w:color w:val="595959" w:themeColor="text1" w:themeTint="A6"/>
          <w:szCs w:val="26"/>
          <w:lang w:val="es-MX"/>
        </w:rPr>
        <w:t>enos aun ponderó porque la reserva total que efectuó supone ser el medio menos restrictivo para evitar el perjuicio.</w:t>
      </w:r>
    </w:p>
    <w:p w:rsidR="00FB18C1" w:rsidRPr="00223224" w:rsidRDefault="00FB18C1" w:rsidP="00FB18C1">
      <w:pPr>
        <w:spacing w:before="240"/>
        <w:rPr>
          <w:rFonts w:ascii="Arial" w:hAnsi="Arial" w:cs="Arial"/>
          <w:color w:val="595959" w:themeColor="text1" w:themeTint="A6"/>
          <w:szCs w:val="26"/>
          <w:lang w:val="es-MX"/>
        </w:rPr>
      </w:pPr>
      <w:r w:rsidRPr="00223224">
        <w:rPr>
          <w:rFonts w:ascii="Arial" w:hAnsi="Arial" w:cs="Arial"/>
          <w:color w:val="595959" w:themeColor="text1" w:themeTint="A6"/>
          <w:szCs w:val="26"/>
          <w:lang w:val="es-MX"/>
        </w:rPr>
        <w:tab/>
        <w:t xml:space="preserve">La consecuencia de no justificar la adecuada fundamentación y motivación de la reserva conforme a la aplicación de la prueba de daño consiste en que no se sustenta la misma, pues no se acreditó la afectación al interés público, que es el bien jurídico tutelado por la excepción que nos ocupa, lo cual implica un vicio en el acuerdo </w:t>
      </w:r>
      <w:r w:rsidRPr="00223224">
        <w:rPr>
          <w:rFonts w:ascii="Arial" w:hAnsi="Arial" w:cs="Arial"/>
          <w:color w:val="595959" w:themeColor="text1" w:themeTint="A6"/>
          <w:szCs w:val="26"/>
          <w:lang w:val="es-MX"/>
        </w:rPr>
        <w:lastRenderedPageBreak/>
        <w:t>respectivo. Tal ilegalidad trae consigo que no se acredite las causales de reserva invocada y por ello no subsiste la excepción hecha valer.</w:t>
      </w:r>
    </w:p>
    <w:p w:rsidR="00FB18C1" w:rsidRPr="00223224" w:rsidRDefault="00FB18C1" w:rsidP="00FB18C1">
      <w:pPr>
        <w:spacing w:before="240"/>
        <w:rPr>
          <w:rFonts w:ascii="Arial" w:hAnsi="Arial" w:cs="Arial"/>
          <w:color w:val="595959" w:themeColor="text1" w:themeTint="A6"/>
          <w:szCs w:val="26"/>
          <w:lang w:val="es-MX"/>
        </w:rPr>
      </w:pPr>
      <w:r w:rsidRPr="00223224">
        <w:rPr>
          <w:rFonts w:ascii="Arial" w:hAnsi="Arial" w:cs="Arial"/>
          <w:color w:val="595959" w:themeColor="text1" w:themeTint="A6"/>
          <w:szCs w:val="26"/>
          <w:lang w:val="es-MX"/>
        </w:rPr>
        <w:tab/>
        <w:t xml:space="preserve">No obstante lo anterior, se le puedo proporcionar la información en versión pública, es decir, a través de la eliminación de las partes o secciones que contuvieran </w:t>
      </w:r>
      <w:r w:rsidR="00624600" w:rsidRPr="00223224">
        <w:rPr>
          <w:rFonts w:ascii="Arial" w:hAnsi="Arial" w:cs="Arial"/>
          <w:color w:val="595959" w:themeColor="text1" w:themeTint="A6"/>
          <w:szCs w:val="26"/>
          <w:lang w:val="es-MX"/>
        </w:rPr>
        <w:t>lo que la propia autoridad pretendió proteger al amparo de la Ley</w:t>
      </w:r>
      <w:r w:rsidRPr="00223224">
        <w:rPr>
          <w:rFonts w:ascii="Arial" w:hAnsi="Arial" w:cs="Arial"/>
          <w:color w:val="595959" w:themeColor="text1" w:themeTint="A6"/>
          <w:szCs w:val="26"/>
          <w:lang w:val="es-MX"/>
        </w:rPr>
        <w:t>, lo cual es correcto pues el artículo 125 de la Ley de Transparencia y Acceso a la información Pública establece:</w:t>
      </w:r>
    </w:p>
    <w:p w:rsidR="00FB18C1" w:rsidRPr="00223224" w:rsidRDefault="00FB18C1" w:rsidP="00624600">
      <w:pPr>
        <w:spacing w:after="240"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 xml:space="preserve">ARTÍCULO 125. Cuando un Documento contenga partes o secciones reservadas o confidenciales, los sujetos obligados, para efectos de atender una solicitud de información, deberán elaborar una Versión Pública en la que se testen las partes o secciones clasificadas, indicando su contenido de manera genérica y fundando y motivando su clasificación. </w:t>
      </w:r>
    </w:p>
    <w:p w:rsidR="00624600" w:rsidRPr="00223224" w:rsidRDefault="00FB18C1" w:rsidP="00FB18C1">
      <w:pPr>
        <w:ind w:firstLine="709"/>
        <w:rPr>
          <w:rFonts w:ascii="Arial" w:hAnsi="Arial" w:cs="Arial"/>
          <w:color w:val="595959" w:themeColor="text1" w:themeTint="A6"/>
          <w:szCs w:val="26"/>
        </w:rPr>
      </w:pPr>
      <w:r w:rsidRPr="00223224">
        <w:rPr>
          <w:rFonts w:ascii="Arial" w:hAnsi="Arial" w:cs="Arial"/>
          <w:color w:val="595959" w:themeColor="text1" w:themeTint="A6"/>
          <w:szCs w:val="26"/>
        </w:rPr>
        <w:t>El dispositivo antes citado establece que cuando la información contenga partes o secciones clasificadas, se deberá realizar el testado de éstas y proporcionar la información que no encuadre en el motivo de excepción; consecuentemente, en armonía a los fundamentos que se precisaron anteriormente, la autoridad debe adoptar la medida menos restrictiva para el acceso a la información.</w:t>
      </w:r>
    </w:p>
    <w:p w:rsidR="00624600" w:rsidRPr="00223224" w:rsidRDefault="007037C7" w:rsidP="00624600">
      <w:pPr>
        <w:spacing w:before="240"/>
        <w:rPr>
          <w:rFonts w:ascii="Arial" w:hAnsi="Arial" w:cs="Arial"/>
          <w:color w:val="595959" w:themeColor="text1" w:themeTint="A6"/>
        </w:rPr>
      </w:pPr>
      <w:r w:rsidRPr="00223224">
        <w:rPr>
          <w:rFonts w:ascii="Arial" w:hAnsi="Arial" w:cs="Arial"/>
          <w:color w:val="595959" w:themeColor="text1" w:themeTint="A6"/>
        </w:rPr>
        <w:tab/>
      </w:r>
      <w:r w:rsidR="00624600" w:rsidRPr="00223224">
        <w:rPr>
          <w:rFonts w:ascii="Arial" w:hAnsi="Arial" w:cs="Arial"/>
          <w:color w:val="595959" w:themeColor="text1" w:themeTint="A6"/>
        </w:rPr>
        <w:t>Lo anterior, porque esta Comisión estima que la información que el particular solicitó encuadra</w:t>
      </w:r>
      <w:r w:rsidRPr="00223224">
        <w:rPr>
          <w:rFonts w:ascii="Arial" w:hAnsi="Arial" w:cs="Arial"/>
          <w:color w:val="595959" w:themeColor="text1" w:themeTint="A6"/>
        </w:rPr>
        <w:t>, parcialmente,</w:t>
      </w:r>
      <w:r w:rsidR="00624600" w:rsidRPr="00223224">
        <w:rPr>
          <w:rFonts w:ascii="Arial" w:hAnsi="Arial" w:cs="Arial"/>
          <w:color w:val="595959" w:themeColor="text1" w:themeTint="A6"/>
        </w:rPr>
        <w:t xml:space="preserve"> en l</w:t>
      </w:r>
      <w:r w:rsidR="006C1334" w:rsidRPr="00223224">
        <w:rPr>
          <w:rFonts w:ascii="Arial" w:hAnsi="Arial" w:cs="Arial"/>
          <w:color w:val="595959" w:themeColor="text1" w:themeTint="A6"/>
        </w:rPr>
        <w:t>o establecido por el artículo 85</w:t>
      </w:r>
      <w:r w:rsidR="00624600" w:rsidRPr="00223224">
        <w:rPr>
          <w:rFonts w:ascii="Arial" w:hAnsi="Arial" w:cs="Arial"/>
          <w:color w:val="595959" w:themeColor="text1" w:themeTint="A6"/>
        </w:rPr>
        <w:t xml:space="preserve">, fracción </w:t>
      </w:r>
      <w:r w:rsidR="006C1334" w:rsidRPr="00223224">
        <w:rPr>
          <w:rFonts w:ascii="Arial" w:hAnsi="Arial" w:cs="Arial"/>
          <w:color w:val="595959" w:themeColor="text1" w:themeTint="A6"/>
        </w:rPr>
        <w:t>I, inciso h)</w:t>
      </w:r>
      <w:r w:rsidR="00624600" w:rsidRPr="00223224">
        <w:rPr>
          <w:rFonts w:ascii="Arial" w:hAnsi="Arial" w:cs="Arial"/>
          <w:color w:val="595959" w:themeColor="text1" w:themeTint="A6"/>
        </w:rPr>
        <w:t>, de la Ley de Transparencia y Acceso a la Información Pública del Estado, que establece:</w:t>
      </w:r>
    </w:p>
    <w:p w:rsidR="006C1334" w:rsidRPr="00223224" w:rsidRDefault="00624600" w:rsidP="00624600">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w:t>
      </w:r>
      <w:r w:rsidR="006C1334" w:rsidRPr="00223224">
        <w:rPr>
          <w:rFonts w:ascii="Arial" w:hAnsi="Arial" w:cs="Arial"/>
          <w:i/>
          <w:color w:val="595959" w:themeColor="text1" w:themeTint="A6"/>
          <w:sz w:val="22"/>
          <w:szCs w:val="22"/>
        </w:rPr>
        <w:t xml:space="preserve">ARTÍCULO 85. Además de lo señalado en el artículo anterior de esta Ley, el Ejecutivo del Estado y los municipios, según corresponda a su ámbito de competencia, deberán poner a disposición del público, de oficio, y en forma completa y actualizada la siguiente información: </w:t>
      </w:r>
    </w:p>
    <w:p w:rsidR="00624600" w:rsidRPr="00223224" w:rsidRDefault="006C1334" w:rsidP="00624600">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I. El Ejecutivo del Estado y los municipios:</w:t>
      </w:r>
    </w:p>
    <w:p w:rsidR="00624600" w:rsidRPr="00223224" w:rsidRDefault="00FD42F0" w:rsidP="00624600">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w:t>
      </w:r>
    </w:p>
    <w:p w:rsidR="00624600" w:rsidRPr="00223224" w:rsidRDefault="00FD42F0" w:rsidP="00FD42F0">
      <w:pPr>
        <w:spacing w:after="240"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h) La información detallada que contengan los planes de desarrollo urbano, ordenamiento territorial y ecológico, los tipos y usos de suelo, licencias de uso y construcción otorgadas por los gobiernos municipales</w:t>
      </w:r>
      <w:r w:rsidR="00624600" w:rsidRPr="00223224">
        <w:rPr>
          <w:rFonts w:ascii="Arial" w:hAnsi="Arial" w:cs="Arial"/>
          <w:i/>
          <w:color w:val="595959" w:themeColor="text1" w:themeTint="A6"/>
          <w:sz w:val="22"/>
          <w:szCs w:val="22"/>
        </w:rPr>
        <w:t>”.</w:t>
      </w:r>
    </w:p>
    <w:p w:rsidR="00624600" w:rsidRPr="00223224" w:rsidRDefault="00624600" w:rsidP="00624600">
      <w:pPr>
        <w:rPr>
          <w:rFonts w:ascii="Arial" w:hAnsi="Arial" w:cs="Arial"/>
          <w:color w:val="595959" w:themeColor="text1" w:themeTint="A6"/>
        </w:rPr>
      </w:pPr>
      <w:r w:rsidRPr="00223224">
        <w:rPr>
          <w:rFonts w:ascii="Arial" w:hAnsi="Arial" w:cs="Arial"/>
          <w:color w:val="595959" w:themeColor="text1" w:themeTint="A6"/>
        </w:rPr>
        <w:tab/>
        <w:t>Derivado del contenido del artículo trascrito, es que se puede constatar que</w:t>
      </w:r>
      <w:r w:rsidR="00FD42F0" w:rsidRPr="00223224">
        <w:rPr>
          <w:rFonts w:ascii="Arial" w:hAnsi="Arial" w:cs="Arial"/>
          <w:color w:val="595959" w:themeColor="text1" w:themeTint="A6"/>
        </w:rPr>
        <w:t xml:space="preserve"> parte de</w:t>
      </w:r>
      <w:r w:rsidRPr="00223224">
        <w:rPr>
          <w:rFonts w:ascii="Arial" w:hAnsi="Arial" w:cs="Arial"/>
          <w:color w:val="595959" w:themeColor="text1" w:themeTint="A6"/>
        </w:rPr>
        <w:t xml:space="preserve"> la información solicitada es pública, y más allá de su publicidad, existe la obligación de difundirla de manera oficiosa, lo que implica que no es posible bajo ningún argumento emitir un acuerdo de clasificación que limite</w:t>
      </w:r>
      <w:r w:rsidR="00FD42F0" w:rsidRPr="00223224">
        <w:rPr>
          <w:rFonts w:ascii="Arial" w:hAnsi="Arial" w:cs="Arial"/>
          <w:color w:val="595959" w:themeColor="text1" w:themeTint="A6"/>
        </w:rPr>
        <w:t xml:space="preserve"> de manera total</w:t>
      </w:r>
      <w:r w:rsidRPr="00223224">
        <w:rPr>
          <w:rFonts w:ascii="Arial" w:hAnsi="Arial" w:cs="Arial"/>
          <w:color w:val="595959" w:themeColor="text1" w:themeTint="A6"/>
        </w:rPr>
        <w:t xml:space="preserve"> el acceso a</w:t>
      </w:r>
      <w:r w:rsidR="00FD42F0" w:rsidRPr="00223224">
        <w:rPr>
          <w:rFonts w:ascii="Arial" w:hAnsi="Arial" w:cs="Arial"/>
          <w:color w:val="595959" w:themeColor="text1" w:themeTint="A6"/>
        </w:rPr>
        <w:t xml:space="preserve"> </w:t>
      </w:r>
      <w:r w:rsidRPr="00223224">
        <w:rPr>
          <w:rFonts w:ascii="Arial" w:hAnsi="Arial" w:cs="Arial"/>
          <w:color w:val="595959" w:themeColor="text1" w:themeTint="A6"/>
        </w:rPr>
        <w:t>l</w:t>
      </w:r>
      <w:r w:rsidR="00FD42F0" w:rsidRPr="00223224">
        <w:rPr>
          <w:rFonts w:ascii="Arial" w:hAnsi="Arial" w:cs="Arial"/>
          <w:color w:val="595959" w:themeColor="text1" w:themeTint="A6"/>
        </w:rPr>
        <w:t>os</w:t>
      </w:r>
      <w:r w:rsidRPr="00223224">
        <w:rPr>
          <w:rFonts w:ascii="Arial" w:hAnsi="Arial" w:cs="Arial"/>
          <w:color w:val="595959" w:themeColor="text1" w:themeTint="A6"/>
        </w:rPr>
        <w:t xml:space="preserve"> documento</w:t>
      </w:r>
      <w:r w:rsidR="00FD42F0" w:rsidRPr="00223224">
        <w:rPr>
          <w:rFonts w:ascii="Arial" w:hAnsi="Arial" w:cs="Arial"/>
          <w:color w:val="595959" w:themeColor="text1" w:themeTint="A6"/>
        </w:rPr>
        <w:t>s</w:t>
      </w:r>
      <w:r w:rsidRPr="00223224">
        <w:rPr>
          <w:rFonts w:ascii="Arial" w:hAnsi="Arial" w:cs="Arial"/>
          <w:color w:val="595959" w:themeColor="text1" w:themeTint="A6"/>
        </w:rPr>
        <w:t xml:space="preserve"> que </w:t>
      </w:r>
      <w:r w:rsidRPr="00223224">
        <w:rPr>
          <w:rFonts w:ascii="Arial" w:hAnsi="Arial" w:cs="Arial"/>
          <w:color w:val="595959" w:themeColor="text1" w:themeTint="A6"/>
        </w:rPr>
        <w:lastRenderedPageBreak/>
        <w:t>nos ocupa</w:t>
      </w:r>
      <w:r w:rsidR="00FD42F0" w:rsidRPr="00223224">
        <w:rPr>
          <w:rFonts w:ascii="Arial" w:hAnsi="Arial" w:cs="Arial"/>
          <w:color w:val="595959" w:themeColor="text1" w:themeTint="A6"/>
        </w:rPr>
        <w:t>n</w:t>
      </w:r>
      <w:r w:rsidRPr="00223224">
        <w:rPr>
          <w:rFonts w:ascii="Arial" w:hAnsi="Arial" w:cs="Arial"/>
          <w:color w:val="595959" w:themeColor="text1" w:themeTint="A6"/>
        </w:rPr>
        <w:t xml:space="preserve"> de manera total, ya que se vulnerarían los principios y las bases por los que se emitió la Ley General de Transparencia y Acceso a la Información Pública y su homóloga local.</w:t>
      </w:r>
    </w:p>
    <w:p w:rsidR="00624600" w:rsidRPr="00223224" w:rsidRDefault="00624600" w:rsidP="00624600">
      <w:pPr>
        <w:spacing w:before="240"/>
        <w:rPr>
          <w:rFonts w:ascii="Arial" w:hAnsi="Arial" w:cs="Arial"/>
          <w:color w:val="595959" w:themeColor="text1" w:themeTint="A6"/>
        </w:rPr>
      </w:pPr>
      <w:r w:rsidRPr="00223224">
        <w:rPr>
          <w:rFonts w:ascii="Arial" w:hAnsi="Arial" w:cs="Arial"/>
          <w:color w:val="595959" w:themeColor="text1" w:themeTint="A6"/>
        </w:rPr>
        <w:tab/>
        <w:t>A mayor abundamiento, los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Sujetos Obligados en los Portales de Internet y en la Plataforma Nacional de Trasparencia” establecen en su anexo I, los datos que debe contener la publicación que se realice atento al texto de la norma, y particularmente los Lineamientos Estatales para la Difusión y Evaluación de las Obligaciones de Transparencia Comunes y Especificas, establece el artículo cuadragésimo Octavo los datos que debe contener la publicación de la obligación correspondiente el artículo 84, fracción XXXIV, de la Ley de Transparencia y Acceso a la Información Pública del Estado.</w:t>
      </w:r>
    </w:p>
    <w:p w:rsidR="00624600" w:rsidRPr="00223224" w:rsidRDefault="00624600" w:rsidP="00624600">
      <w:pPr>
        <w:spacing w:before="240"/>
        <w:rPr>
          <w:rFonts w:ascii="Arial" w:hAnsi="Arial" w:cs="Arial"/>
          <w:color w:val="595959" w:themeColor="text1" w:themeTint="A6"/>
        </w:rPr>
      </w:pPr>
      <w:r w:rsidRPr="00223224">
        <w:rPr>
          <w:rFonts w:ascii="Arial" w:hAnsi="Arial" w:cs="Arial"/>
          <w:color w:val="595959" w:themeColor="text1" w:themeTint="A6"/>
        </w:rPr>
        <w:tab/>
        <w:t>Al mediar una disposición que vincula y obliga a la Oficialía Mayor a publicar dicha información, es que resultan contrarias a derecho sus argumentaciones realizadas para clasificar la totalidad del expediente en mención, ya que no es posible concebir la reserva de la información relativa a las obligaciones comunes de transparencia, puesto que su finalidad es garantizar y maximizar la publicidad de la actividad de los sujetos; y consecuentemente, no es posible concebir la reserva de la información, ya que de ser así contraviene el contenido del artículo 112 de la Ley General de la Materia y su correlativo 126 de la norma estatal  que establecen:</w:t>
      </w:r>
    </w:p>
    <w:p w:rsidR="00624600" w:rsidRPr="00223224" w:rsidRDefault="00624600" w:rsidP="00624600">
      <w:pPr>
        <w:spacing w:line="240" w:lineRule="auto"/>
        <w:rPr>
          <w:rFonts w:ascii="Arial" w:hAnsi="Arial" w:cs="Arial"/>
          <w:b/>
          <w:i/>
          <w:color w:val="595959" w:themeColor="text1" w:themeTint="A6"/>
          <w:sz w:val="22"/>
          <w:szCs w:val="22"/>
        </w:rPr>
      </w:pPr>
      <w:r w:rsidRPr="00223224">
        <w:rPr>
          <w:rFonts w:ascii="Arial" w:hAnsi="Arial" w:cs="Arial"/>
          <w:color w:val="595959" w:themeColor="text1" w:themeTint="A6"/>
        </w:rPr>
        <w:tab/>
      </w:r>
      <w:r w:rsidRPr="00223224">
        <w:rPr>
          <w:rFonts w:ascii="Arial" w:hAnsi="Arial" w:cs="Arial"/>
          <w:color w:val="595959" w:themeColor="text1" w:themeTint="A6"/>
        </w:rPr>
        <w:tab/>
      </w:r>
      <w:r w:rsidRPr="00223224">
        <w:rPr>
          <w:rFonts w:ascii="Arial" w:hAnsi="Arial" w:cs="Arial"/>
          <w:b/>
          <w:i/>
          <w:color w:val="595959" w:themeColor="text1" w:themeTint="A6"/>
          <w:sz w:val="22"/>
          <w:szCs w:val="22"/>
        </w:rPr>
        <w:t>Ley General de Transparencia y Acceso a la Información Pública</w:t>
      </w:r>
    </w:p>
    <w:p w:rsidR="00624600" w:rsidRPr="00223224" w:rsidRDefault="00624600" w:rsidP="00624600">
      <w:pPr>
        <w:spacing w:line="240" w:lineRule="auto"/>
        <w:ind w:left="709" w:firstLine="709"/>
        <w:rPr>
          <w:rFonts w:ascii="Arial" w:hAnsi="Arial" w:cs="Arial"/>
          <w:i/>
          <w:color w:val="595959" w:themeColor="text1" w:themeTint="A6"/>
          <w:sz w:val="22"/>
          <w:szCs w:val="22"/>
          <w:shd w:val="clear" w:color="auto" w:fill="FFFFFF"/>
        </w:rPr>
      </w:pPr>
      <w:r w:rsidRPr="00223224">
        <w:rPr>
          <w:rFonts w:ascii="Arial" w:hAnsi="Arial" w:cs="Arial"/>
          <w:b/>
          <w:bCs/>
          <w:i/>
          <w:color w:val="595959" w:themeColor="text1" w:themeTint="A6"/>
          <w:sz w:val="22"/>
          <w:szCs w:val="22"/>
          <w:shd w:val="clear" w:color="auto" w:fill="FFFFFF"/>
        </w:rPr>
        <w:t>“Artículo 112.</w:t>
      </w:r>
      <w:r w:rsidRPr="00223224">
        <w:rPr>
          <w:rStyle w:val="apple-converted-space"/>
          <w:rFonts w:ascii="Arial" w:hAnsi="Arial" w:cs="Arial"/>
          <w:b/>
          <w:bCs/>
          <w:i/>
          <w:color w:val="595959" w:themeColor="text1" w:themeTint="A6"/>
          <w:sz w:val="22"/>
          <w:szCs w:val="22"/>
          <w:shd w:val="clear" w:color="auto" w:fill="FFFFFF"/>
        </w:rPr>
        <w:t> </w:t>
      </w:r>
      <w:r w:rsidRPr="00223224">
        <w:rPr>
          <w:rFonts w:ascii="Arial" w:hAnsi="Arial" w:cs="Arial"/>
          <w:i/>
          <w:color w:val="595959" w:themeColor="text1" w:themeTint="A6"/>
          <w:sz w:val="22"/>
          <w:szCs w:val="22"/>
          <w:shd w:val="clear" w:color="auto" w:fill="FFFFFF"/>
        </w:rPr>
        <w:t>La información contenida en las obligaciones de transparencia no podrá omitirse en las</w:t>
      </w:r>
      <w:r w:rsidRPr="00223224">
        <w:rPr>
          <w:rStyle w:val="apple-converted-space"/>
          <w:rFonts w:ascii="Arial" w:hAnsi="Arial" w:cs="Arial"/>
          <w:i/>
          <w:color w:val="595959" w:themeColor="text1" w:themeTint="A6"/>
          <w:sz w:val="22"/>
          <w:szCs w:val="22"/>
          <w:shd w:val="clear" w:color="auto" w:fill="FFFFFF"/>
        </w:rPr>
        <w:t> </w:t>
      </w:r>
      <w:r w:rsidRPr="00223224">
        <w:rPr>
          <w:rFonts w:ascii="Arial" w:hAnsi="Arial" w:cs="Arial"/>
          <w:i/>
          <w:color w:val="595959" w:themeColor="text1" w:themeTint="A6"/>
          <w:sz w:val="22"/>
          <w:szCs w:val="22"/>
          <w:shd w:val="clear" w:color="auto" w:fill="FFFFFF"/>
        </w:rPr>
        <w:t>versiones públicas”</w:t>
      </w:r>
    </w:p>
    <w:p w:rsidR="00624600" w:rsidRPr="00223224" w:rsidRDefault="00624600" w:rsidP="00624600">
      <w:pPr>
        <w:spacing w:line="240" w:lineRule="auto"/>
        <w:ind w:left="709" w:firstLine="709"/>
        <w:rPr>
          <w:rFonts w:ascii="Arial" w:hAnsi="Arial" w:cs="Arial"/>
          <w:i/>
          <w:color w:val="595959" w:themeColor="text1" w:themeTint="A6"/>
          <w:sz w:val="22"/>
          <w:szCs w:val="22"/>
          <w:shd w:val="clear" w:color="auto" w:fill="FFFFFF"/>
        </w:rPr>
      </w:pPr>
    </w:p>
    <w:p w:rsidR="00624600" w:rsidRPr="00223224" w:rsidRDefault="00624600" w:rsidP="00624600">
      <w:pPr>
        <w:spacing w:line="240" w:lineRule="auto"/>
        <w:ind w:left="709" w:firstLine="709"/>
        <w:rPr>
          <w:rFonts w:ascii="Arial" w:hAnsi="Arial" w:cs="Arial"/>
          <w:i/>
          <w:color w:val="595959" w:themeColor="text1" w:themeTint="A6"/>
          <w:sz w:val="22"/>
          <w:szCs w:val="22"/>
          <w:shd w:val="clear" w:color="auto" w:fill="FFFFFF"/>
        </w:rPr>
      </w:pPr>
      <w:r w:rsidRPr="00223224">
        <w:rPr>
          <w:rFonts w:ascii="Arial" w:hAnsi="Arial" w:cs="Arial"/>
          <w:b/>
          <w:bCs/>
          <w:i/>
          <w:color w:val="595959" w:themeColor="text1" w:themeTint="A6"/>
          <w:sz w:val="22"/>
          <w:szCs w:val="22"/>
          <w:shd w:val="clear" w:color="auto" w:fill="FFFFFF"/>
        </w:rPr>
        <w:t>Ley de Transparencia y Acceso a la Información Pública del Estado</w:t>
      </w:r>
    </w:p>
    <w:p w:rsidR="00624600" w:rsidRPr="00223224" w:rsidRDefault="00624600" w:rsidP="00624600">
      <w:pPr>
        <w:spacing w:line="240" w:lineRule="auto"/>
        <w:ind w:left="709" w:firstLine="709"/>
        <w:rPr>
          <w:rFonts w:ascii="Arial" w:hAnsi="Arial" w:cs="Arial"/>
          <w:i/>
          <w:color w:val="595959" w:themeColor="text1" w:themeTint="A6"/>
          <w:sz w:val="22"/>
          <w:szCs w:val="22"/>
        </w:rPr>
      </w:pPr>
      <w:r w:rsidRPr="00223224">
        <w:rPr>
          <w:rFonts w:ascii="Arial" w:hAnsi="Arial" w:cs="Arial"/>
          <w:i/>
          <w:color w:val="595959" w:themeColor="text1" w:themeTint="A6"/>
          <w:sz w:val="22"/>
          <w:szCs w:val="22"/>
        </w:rPr>
        <w:t>“ARTÍCULO 126. La información contenida en las obligaciones de transparencia no podrá omitirse en las versiones públicas. La autoridad no podrá negar el acceso a la información clasificada de un documento</w:t>
      </w:r>
      <w:r w:rsidRPr="00223224">
        <w:rPr>
          <w:rFonts w:ascii="Arial" w:hAnsi="Arial" w:cs="Arial"/>
          <w:i/>
          <w:color w:val="595959" w:themeColor="text1" w:themeTint="A6"/>
          <w:sz w:val="22"/>
          <w:szCs w:val="22"/>
          <w:shd w:val="clear" w:color="auto" w:fill="FFFFFF"/>
        </w:rPr>
        <w:t>”.</w:t>
      </w:r>
    </w:p>
    <w:p w:rsidR="00624600" w:rsidRPr="00223224" w:rsidRDefault="00624600" w:rsidP="00624600">
      <w:pPr>
        <w:spacing w:line="240" w:lineRule="auto"/>
        <w:ind w:left="709" w:firstLine="709"/>
        <w:rPr>
          <w:rFonts w:ascii="Arial" w:hAnsi="Arial" w:cs="Arial"/>
          <w:i/>
          <w:color w:val="595959" w:themeColor="text1" w:themeTint="A6"/>
          <w:sz w:val="22"/>
          <w:szCs w:val="22"/>
        </w:rPr>
      </w:pPr>
    </w:p>
    <w:p w:rsidR="00624600" w:rsidRPr="00223224" w:rsidRDefault="00624600" w:rsidP="00624600">
      <w:pPr>
        <w:rPr>
          <w:rFonts w:ascii="Arial" w:hAnsi="Arial" w:cs="Arial"/>
          <w:color w:val="595959" w:themeColor="text1" w:themeTint="A6"/>
        </w:rPr>
      </w:pPr>
      <w:r w:rsidRPr="00223224">
        <w:rPr>
          <w:rFonts w:ascii="Arial" w:hAnsi="Arial" w:cs="Arial"/>
          <w:color w:val="595959" w:themeColor="text1" w:themeTint="A6"/>
        </w:rPr>
        <w:lastRenderedPageBreak/>
        <w:tab/>
        <w:t>Como lo demuestran los artículos citados, no es concebible que la información relativa a las obligaciones de transparencia se vea sujeta a una reserva, es decir, no puede ser omitida dicha información en cumplimiento al mandamiento de publicidad.</w:t>
      </w:r>
    </w:p>
    <w:p w:rsidR="00624600" w:rsidRPr="00223224" w:rsidRDefault="00624600" w:rsidP="00624600">
      <w:pPr>
        <w:spacing w:before="240"/>
        <w:rPr>
          <w:rFonts w:ascii="Arial" w:hAnsi="Arial" w:cs="Arial"/>
          <w:color w:val="595959" w:themeColor="text1" w:themeTint="A6"/>
        </w:rPr>
      </w:pPr>
      <w:r w:rsidRPr="00223224">
        <w:rPr>
          <w:rFonts w:ascii="Arial" w:hAnsi="Arial" w:cs="Arial"/>
          <w:color w:val="595959" w:themeColor="text1" w:themeTint="A6"/>
        </w:rPr>
        <w:tab/>
        <w:t xml:space="preserve">Como se puede advertir de los argumentos aquí expuestos, la Ley establece una obligación de transparencia relacionada con la materia de la solicitud, es decir, información sobre los resultados de procedimientos de adjudicación directa, </w:t>
      </w:r>
      <w:r w:rsidRPr="00223224">
        <w:rPr>
          <w:rFonts w:ascii="Arial" w:hAnsi="Arial" w:cs="Arial"/>
          <w:color w:val="595959" w:themeColor="text1" w:themeTint="A6"/>
          <w:szCs w:val="26"/>
        </w:rPr>
        <w:t>invitación restringida y licitación de cualquier naturaleza, incluyendo la versión pública del expediente respectivo y de los contratos celebrados</w:t>
      </w:r>
      <w:r w:rsidRPr="00223224">
        <w:rPr>
          <w:rFonts w:ascii="Arial" w:hAnsi="Arial" w:cs="Arial"/>
          <w:color w:val="595959" w:themeColor="text1" w:themeTint="A6"/>
        </w:rPr>
        <w:t>. De ahí que el sujeto obligado debe entregar el contrato que requirió el particular en los términos en que se precisa en la citada obligación de transparencia, sin mayor limitación de la clasificación de las secciones que no sean materia de la misma, sólo en caso de actualizarse de manera justificada la reserva.</w:t>
      </w:r>
    </w:p>
    <w:p w:rsidR="00624600" w:rsidRPr="00223224" w:rsidRDefault="00624600" w:rsidP="00624600">
      <w:pPr>
        <w:spacing w:before="240" w:after="240"/>
        <w:ind w:firstLine="708"/>
        <w:rPr>
          <w:rFonts w:ascii="Arial" w:hAnsi="Arial" w:cs="Arial"/>
          <w:color w:val="595959" w:themeColor="text1" w:themeTint="A6"/>
          <w:szCs w:val="26"/>
        </w:rPr>
      </w:pPr>
      <w:r w:rsidRPr="00223224">
        <w:rPr>
          <w:rFonts w:ascii="Arial" w:hAnsi="Arial" w:cs="Arial"/>
          <w:color w:val="595959" w:themeColor="text1" w:themeTint="A6"/>
          <w:szCs w:val="26"/>
        </w:rPr>
        <w:t xml:space="preserve">Por todo lo anterior, se puede corroborar que el motivo de disenso resulta fundado, ya que el sujeto obligado clasificó información que encuadra en las obligaciones de transparencia y no se justificó la reserva que pretendió llevar a cabo; en consecuencia, con fundamento en el artículo 175, fracción III, de la Ley de Transparencia y Acceso a la Información Pública del Estado, se </w:t>
      </w:r>
      <w:r w:rsidR="00FD42F0" w:rsidRPr="00223224">
        <w:rPr>
          <w:rFonts w:ascii="Arial" w:hAnsi="Arial" w:cs="Arial"/>
          <w:b/>
          <w:color w:val="595959" w:themeColor="text1" w:themeTint="A6"/>
          <w:szCs w:val="26"/>
        </w:rPr>
        <w:t>modifica</w:t>
      </w:r>
      <w:r w:rsidRPr="00223224">
        <w:rPr>
          <w:rFonts w:ascii="Arial" w:hAnsi="Arial" w:cs="Arial"/>
          <w:color w:val="595959" w:themeColor="text1" w:themeTint="A6"/>
          <w:szCs w:val="26"/>
        </w:rPr>
        <w:t xml:space="preserve"> la respuesta de la autoridad en virtud de actualizarse lo establecido por el artículo 167, fracción I, de la Ley de Transparencia y Acceso a la Información Pública del Estado, y se conmina a la autoridad para el efecto de que:</w:t>
      </w:r>
    </w:p>
    <w:p w:rsidR="00624600" w:rsidRPr="00223224" w:rsidRDefault="00624600" w:rsidP="00624600">
      <w:pPr>
        <w:pStyle w:val="Prrafodelista"/>
        <w:numPr>
          <w:ilvl w:val="0"/>
          <w:numId w:val="28"/>
        </w:numPr>
        <w:spacing w:before="240" w:after="240"/>
        <w:rPr>
          <w:rFonts w:ascii="Arial" w:hAnsi="Arial" w:cs="Arial"/>
          <w:color w:val="595959" w:themeColor="text1" w:themeTint="A6"/>
          <w:szCs w:val="26"/>
        </w:rPr>
      </w:pPr>
      <w:r w:rsidRPr="00223224">
        <w:rPr>
          <w:rFonts w:ascii="Arial" w:hAnsi="Arial" w:cs="Arial"/>
          <w:color w:val="595959" w:themeColor="text1" w:themeTint="A6"/>
          <w:szCs w:val="26"/>
        </w:rPr>
        <w:t>Desclasifique la información solicitada por el particular, misma que deberá ser proporc</w:t>
      </w:r>
      <w:r w:rsidR="00FD42F0" w:rsidRPr="00223224">
        <w:rPr>
          <w:rFonts w:ascii="Arial" w:hAnsi="Arial" w:cs="Arial"/>
          <w:color w:val="595959" w:themeColor="text1" w:themeTint="A6"/>
          <w:szCs w:val="26"/>
        </w:rPr>
        <w:t>ionada en términos del artículo 85, fracción I, inciso h</w:t>
      </w:r>
      <w:r w:rsidRPr="00223224">
        <w:rPr>
          <w:rFonts w:ascii="Arial" w:hAnsi="Arial" w:cs="Arial"/>
          <w:color w:val="595959" w:themeColor="text1" w:themeTint="A6"/>
          <w:szCs w:val="26"/>
        </w:rPr>
        <w:t>, de la Ley de Transparencia y Acceso a la Información Pública del Estado.</w:t>
      </w:r>
    </w:p>
    <w:p w:rsidR="00624600" w:rsidRPr="00223224" w:rsidRDefault="00624600" w:rsidP="00624600">
      <w:pPr>
        <w:pStyle w:val="Prrafodelista"/>
        <w:numPr>
          <w:ilvl w:val="0"/>
          <w:numId w:val="28"/>
        </w:numPr>
        <w:spacing w:after="240"/>
        <w:rPr>
          <w:rFonts w:ascii="Arial" w:hAnsi="Arial" w:cs="Arial"/>
          <w:color w:val="595959" w:themeColor="text1" w:themeTint="A6"/>
          <w:szCs w:val="26"/>
        </w:rPr>
      </w:pPr>
      <w:r w:rsidRPr="00223224">
        <w:rPr>
          <w:rFonts w:ascii="Arial" w:hAnsi="Arial" w:cs="Arial"/>
          <w:color w:val="595959" w:themeColor="text1" w:themeTint="A6"/>
          <w:szCs w:val="26"/>
        </w:rPr>
        <w:t>En caso de que determinadas partes o secciones deban ser clasificadas, deberá emitir el acuerdo por el cual fun</w:t>
      </w:r>
      <w:r w:rsidR="00FD42F0" w:rsidRPr="00223224">
        <w:rPr>
          <w:rFonts w:ascii="Arial" w:hAnsi="Arial" w:cs="Arial"/>
          <w:color w:val="595959" w:themeColor="text1" w:themeTint="A6"/>
          <w:szCs w:val="26"/>
        </w:rPr>
        <w:t>de y motive dicha determinación en términos de la Ley aplicable.</w:t>
      </w:r>
    </w:p>
    <w:p w:rsidR="00FD42F0" w:rsidRPr="00223224" w:rsidRDefault="00FD42F0" w:rsidP="00FD42F0">
      <w:pPr>
        <w:pStyle w:val="Prrafodelista"/>
        <w:spacing w:after="240"/>
        <w:ind w:left="1068"/>
        <w:rPr>
          <w:rFonts w:ascii="Arial" w:hAnsi="Arial" w:cs="Arial"/>
          <w:color w:val="595959" w:themeColor="text1" w:themeTint="A6"/>
          <w:szCs w:val="26"/>
        </w:rPr>
      </w:pPr>
    </w:p>
    <w:p w:rsidR="0023298C" w:rsidRPr="00223224" w:rsidRDefault="00624600" w:rsidP="00FD42F0">
      <w:pPr>
        <w:pStyle w:val="Prrafodelista"/>
        <w:shd w:val="clear" w:color="auto" w:fill="FFFFFF"/>
        <w:spacing w:before="240" w:after="240"/>
        <w:ind w:left="0"/>
        <w:rPr>
          <w:rFonts w:ascii="Arial" w:hAnsi="Arial" w:cs="Arial"/>
          <w:color w:val="595959" w:themeColor="text1" w:themeTint="A6"/>
          <w:szCs w:val="26"/>
          <w:lang w:eastAsia="es-MX"/>
        </w:rPr>
      </w:pPr>
      <w:r w:rsidRPr="00223224">
        <w:rPr>
          <w:rFonts w:ascii="Arial" w:hAnsi="Arial" w:cs="Arial"/>
          <w:color w:val="595959" w:themeColor="text1" w:themeTint="A6"/>
        </w:rPr>
        <w:lastRenderedPageBreak/>
        <w:tab/>
      </w:r>
      <w:r w:rsidR="0023298C" w:rsidRPr="00223224">
        <w:rPr>
          <w:rFonts w:ascii="Arial" w:eastAsia="Arial Unicode MS" w:hAnsi="Arial" w:cs="Arial"/>
          <w:color w:val="595959" w:themeColor="text1" w:themeTint="A6"/>
        </w:rPr>
        <w:t>Para efectos del cumplimiento de la presente resolución resulta pertinente tomar en cuenta las siguientes precisiones:</w:t>
      </w:r>
      <w:r w:rsidR="0023298C" w:rsidRPr="00223224">
        <w:rPr>
          <w:rFonts w:ascii="Arial" w:eastAsia="Arial Unicode MS" w:hAnsi="Arial" w:cs="Arial"/>
          <w:color w:val="595959" w:themeColor="text1" w:themeTint="A6"/>
          <w:szCs w:val="26"/>
          <w:lang w:eastAsia="es-MX"/>
        </w:rPr>
        <w:t> </w:t>
      </w:r>
    </w:p>
    <w:p w:rsidR="0023298C" w:rsidRPr="00223224" w:rsidRDefault="0023298C" w:rsidP="0023298C">
      <w:pPr>
        <w:spacing w:before="240"/>
        <w:rPr>
          <w:rFonts w:ascii="Arial" w:hAnsi="Arial" w:cs="Arial"/>
          <w:b/>
          <w:color w:val="595959" w:themeColor="text1" w:themeTint="A6"/>
        </w:rPr>
      </w:pPr>
      <w:r w:rsidRPr="00223224">
        <w:rPr>
          <w:rFonts w:ascii="Arial" w:hAnsi="Arial" w:cs="Arial"/>
          <w:color w:val="595959" w:themeColor="text1" w:themeTint="A6"/>
          <w:szCs w:val="26"/>
          <w:lang w:eastAsia="es-MX"/>
        </w:rPr>
        <w:tab/>
      </w:r>
      <w:r w:rsidRPr="00223224">
        <w:rPr>
          <w:rFonts w:ascii="Arial" w:hAnsi="Arial" w:cs="Arial"/>
          <w:color w:val="595959" w:themeColor="text1" w:themeTint="A6"/>
        </w:rPr>
        <w:t xml:space="preserve">Con fundamento en los artículos 175, último párrafo y 183 de la Ley de Transparencia y Acceso a la Información Pública del Estado, se le concede al ente obligado el término de </w:t>
      </w:r>
      <w:r w:rsidRPr="00223224">
        <w:rPr>
          <w:rFonts w:ascii="Arial" w:hAnsi="Arial" w:cs="Arial"/>
          <w:b/>
          <w:color w:val="595959" w:themeColor="text1" w:themeTint="A6"/>
        </w:rPr>
        <w:t xml:space="preserve">10 diez días, </w:t>
      </w:r>
      <w:r w:rsidRPr="00223224">
        <w:rPr>
          <w:rFonts w:ascii="Arial" w:hAnsi="Arial" w:cs="Arial"/>
          <w:b/>
          <w:bCs/>
          <w:color w:val="595959" w:themeColor="text1" w:themeTint="A6"/>
          <w:szCs w:val="26"/>
          <w:lang w:val="es-MX" w:eastAsia="es-MX"/>
        </w:rPr>
        <w:t>contados a partir del día siguiente de su notificación,</w:t>
      </w:r>
      <w:r w:rsidRPr="00223224">
        <w:rPr>
          <w:rFonts w:ascii="Arial" w:hAnsi="Arial" w:cs="Arial"/>
          <w:b/>
          <w:color w:val="595959" w:themeColor="text1" w:themeTint="A6"/>
        </w:rPr>
        <w:t xml:space="preserve"> para que de cumplimiento a lo ordenado en la presente resolución.</w:t>
      </w:r>
    </w:p>
    <w:p w:rsidR="0023298C" w:rsidRPr="00223224" w:rsidRDefault="0023298C" w:rsidP="0023298C">
      <w:pPr>
        <w:spacing w:before="240"/>
        <w:rPr>
          <w:rFonts w:ascii="Arial" w:hAnsi="Arial" w:cs="Arial"/>
          <w:color w:val="595959" w:themeColor="text1" w:themeTint="A6"/>
        </w:rPr>
      </w:pPr>
      <w:r w:rsidRPr="00223224">
        <w:rPr>
          <w:rFonts w:ascii="Arial" w:hAnsi="Arial" w:cs="Arial"/>
          <w:color w:val="595959" w:themeColor="text1" w:themeTint="A6"/>
        </w:rPr>
        <w:tab/>
        <w:t>Se estima el plazo de 10 diez días, puesto que el ente obligado deberá entregar al particular lo requerido, por lo que en analogía al artículo 154 de la Ley de Transparencia y Acceso a la Información Pública es que se concede dicho término.</w:t>
      </w:r>
    </w:p>
    <w:p w:rsidR="0023298C" w:rsidRPr="00223224" w:rsidRDefault="0023298C" w:rsidP="0023298C">
      <w:pPr>
        <w:shd w:val="clear" w:color="auto" w:fill="FFFFFF"/>
        <w:spacing w:before="240"/>
        <w:ind w:firstLine="708"/>
        <w:rPr>
          <w:rFonts w:ascii="Arial" w:hAnsi="Arial" w:cs="Arial"/>
          <w:b/>
          <w:bCs/>
          <w:color w:val="595959" w:themeColor="text1" w:themeTint="A6"/>
          <w:szCs w:val="26"/>
          <w:lang w:val="es-MX" w:eastAsia="es-MX"/>
        </w:rPr>
      </w:pPr>
      <w:r w:rsidRPr="00223224">
        <w:rPr>
          <w:rFonts w:ascii="Arial" w:hAnsi="Arial" w:cs="Arial"/>
          <w:b/>
          <w:bCs/>
          <w:color w:val="595959" w:themeColor="text1" w:themeTint="A6"/>
          <w:szCs w:val="26"/>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23298C" w:rsidRPr="00223224" w:rsidRDefault="0023298C" w:rsidP="0023298C">
      <w:pPr>
        <w:shd w:val="clear" w:color="auto" w:fill="FFFFFF"/>
        <w:spacing w:before="240"/>
        <w:ind w:firstLine="708"/>
        <w:rPr>
          <w:rFonts w:ascii="Arial" w:hAnsi="Arial" w:cs="Arial"/>
          <w:b/>
          <w:bCs/>
          <w:color w:val="595959" w:themeColor="text1" w:themeTint="A6"/>
          <w:szCs w:val="26"/>
          <w:lang w:val="es-MX" w:eastAsia="es-MX"/>
        </w:rPr>
      </w:pPr>
      <w:r w:rsidRPr="00223224">
        <w:rPr>
          <w:rFonts w:ascii="Arial" w:hAnsi="Arial" w:cs="Arial"/>
          <w:b/>
          <w:bCs/>
          <w:color w:val="595959" w:themeColor="text1" w:themeTint="A6"/>
          <w:szCs w:val="26"/>
          <w:lang w:val="es-MX" w:eastAsia="es-MX"/>
        </w:rPr>
        <w:t xml:space="preserve">Una vez concluido dicho plazo, </w:t>
      </w:r>
      <w:r w:rsidRPr="00223224">
        <w:rPr>
          <w:rFonts w:ascii="Arial" w:hAnsi="Arial" w:cs="Arial"/>
          <w:color w:val="595959" w:themeColor="text1" w:themeTint="A6"/>
          <w:szCs w:val="26"/>
          <w:lang w:val="es-MX" w:eastAsia="es-MX"/>
        </w:rPr>
        <w:t>dentro de los 03 tres días hábiles siguientes, deberá</w:t>
      </w:r>
      <w:r w:rsidRPr="00223224">
        <w:rPr>
          <w:rFonts w:ascii="Arial" w:hAnsi="Arial" w:cs="Arial"/>
          <w:b/>
          <w:bCs/>
          <w:color w:val="595959" w:themeColor="text1" w:themeTint="A6"/>
          <w:szCs w:val="26"/>
          <w:lang w:val="es-MX" w:eastAsia="es-MX"/>
        </w:rPr>
        <w:t xml:space="preserve"> </w:t>
      </w:r>
      <w:r w:rsidRPr="00223224">
        <w:rPr>
          <w:rFonts w:ascii="Arial" w:hAnsi="Arial" w:cs="Arial"/>
          <w:color w:val="595959" w:themeColor="text1" w:themeTint="A6"/>
          <w:szCs w:val="26"/>
          <w:lang w:val="es-MX" w:eastAsia="es-MX"/>
        </w:rPr>
        <w:t>informar el cumplimiento al presente fallo con los documentos fehacientes</w:t>
      </w:r>
      <w:r w:rsidRPr="00223224">
        <w:rPr>
          <w:rFonts w:ascii="Arial" w:hAnsi="Arial" w:cs="Arial"/>
          <w:color w:val="595959" w:themeColor="text1" w:themeTint="A6"/>
          <w:lang w:val="es-MX" w:eastAsia="es-MX"/>
        </w:rPr>
        <w:t> </w:t>
      </w:r>
      <w:r w:rsidRPr="00223224">
        <w:rPr>
          <w:rFonts w:ascii="Arial" w:hAnsi="Arial" w:cs="Arial"/>
          <w:b/>
          <w:bCs/>
          <w:color w:val="595959" w:themeColor="text1" w:themeTint="A6"/>
          <w:szCs w:val="26"/>
          <w:lang w:val="es-MX" w:eastAsia="es-MX"/>
        </w:rPr>
        <w:t>(</w:t>
      </w:r>
      <w:r w:rsidRPr="00223224">
        <w:rPr>
          <w:rFonts w:ascii="Arial" w:hAnsi="Arial" w:cs="Arial"/>
          <w:b/>
          <w:bCs/>
          <w:color w:val="595959" w:themeColor="text1" w:themeTint="A6"/>
          <w:sz w:val="28"/>
          <w:szCs w:val="26"/>
          <w:u w:val="single"/>
          <w:lang w:val="es-MX" w:eastAsia="es-MX"/>
        </w:rPr>
        <w:t>originales o copia certificada de documentos y bandeja de salida del correo electrónico</w:t>
      </w:r>
      <w:r w:rsidRPr="00223224">
        <w:rPr>
          <w:rFonts w:ascii="Arial" w:hAnsi="Arial" w:cs="Arial"/>
          <w:b/>
          <w:bCs/>
          <w:color w:val="595959" w:themeColor="text1" w:themeTint="A6"/>
          <w:szCs w:val="26"/>
          <w:lang w:val="es-MX" w:eastAsia="es-MX"/>
        </w:rPr>
        <w:t>),</w:t>
      </w:r>
      <w:r w:rsidRPr="00223224">
        <w:rPr>
          <w:rFonts w:ascii="Arial" w:hAnsi="Arial" w:cs="Arial"/>
          <w:color w:val="595959" w:themeColor="text1" w:themeTint="A6"/>
          <w:lang w:val="es-MX" w:eastAsia="es-MX"/>
        </w:rPr>
        <w:t> </w:t>
      </w:r>
      <w:r w:rsidRPr="00223224">
        <w:rPr>
          <w:rFonts w:ascii="Arial" w:hAnsi="Arial" w:cs="Arial"/>
          <w:color w:val="595959" w:themeColor="text1" w:themeTint="A6"/>
          <w:szCs w:val="26"/>
          <w:lang w:val="es-MX" w:eastAsia="es-MX"/>
        </w:rPr>
        <w:t>con fundamento en los artículos 177 184 de la Ley de Transparencia y Acceso a la Información Pública</w:t>
      </w:r>
      <w:r w:rsidRPr="00223224">
        <w:rPr>
          <w:rFonts w:ascii="Arial" w:hAnsi="Arial" w:cs="Arial"/>
          <w:color w:val="595959" w:themeColor="text1" w:themeTint="A6"/>
          <w:lang w:val="es-MX" w:eastAsia="es-MX"/>
        </w:rPr>
        <w:t> </w:t>
      </w:r>
      <w:r w:rsidRPr="00223224">
        <w:rPr>
          <w:rFonts w:ascii="Arial" w:hAnsi="Arial" w:cs="Arial"/>
          <w:b/>
          <w:bCs/>
          <w:color w:val="595959" w:themeColor="text1" w:themeTint="A6"/>
          <w:szCs w:val="26"/>
          <w:lang w:val="es-MX" w:eastAsia="es-MX"/>
        </w:rPr>
        <w:t xml:space="preserve">y en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 de la Ley de Transparencia y Acceso a la información Pública del Estado. Lo anterior, sin perjuicio de que esta Comisión </w:t>
      </w:r>
      <w:r w:rsidRPr="00223224">
        <w:rPr>
          <w:rFonts w:ascii="Arial" w:hAnsi="Arial" w:cs="Arial"/>
          <w:b/>
          <w:bCs/>
          <w:color w:val="595959" w:themeColor="text1" w:themeTint="A6"/>
          <w:szCs w:val="26"/>
          <w:lang w:val="es-MX" w:eastAsia="es-MX"/>
        </w:rPr>
        <w:lastRenderedPageBreak/>
        <w:t>realicé lo necesario para que se dé el debido cumplimiento a la presente resolución.</w:t>
      </w:r>
    </w:p>
    <w:p w:rsidR="0023298C" w:rsidRPr="00223224" w:rsidRDefault="0023298C" w:rsidP="0023298C">
      <w:pPr>
        <w:spacing w:before="240"/>
        <w:rPr>
          <w:rFonts w:ascii="Arial" w:hAnsi="Arial" w:cs="Arial"/>
          <w:bCs/>
          <w:color w:val="595959" w:themeColor="text1" w:themeTint="A6"/>
          <w:szCs w:val="26"/>
          <w:u w:val="single"/>
          <w:lang w:val="es-MX" w:eastAsia="es-MX"/>
        </w:rPr>
      </w:pPr>
      <w:r w:rsidRPr="00223224">
        <w:rPr>
          <w:rFonts w:ascii="Arial" w:hAnsi="Arial" w:cs="Arial"/>
          <w:bCs/>
          <w:color w:val="595959" w:themeColor="text1" w:themeTint="A6"/>
          <w:szCs w:val="26"/>
          <w:lang w:val="es-MX" w:eastAsia="es-MX"/>
        </w:rPr>
        <w:tab/>
      </w:r>
      <w:r w:rsidRPr="00223224">
        <w:rPr>
          <w:rFonts w:ascii="Arial" w:hAnsi="Arial" w:cs="Arial"/>
          <w:bCs/>
          <w:color w:val="595959" w:themeColor="text1" w:themeTint="A6"/>
          <w:szCs w:val="26"/>
          <w:u w:val="single"/>
          <w:lang w:val="es-MX" w:eastAsia="es-MX"/>
        </w:rPr>
        <w:t>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23298C" w:rsidRPr="00223224" w:rsidRDefault="0023298C" w:rsidP="0023298C">
      <w:pPr>
        <w:spacing w:before="240" w:after="240"/>
        <w:rPr>
          <w:rFonts w:ascii="Arial" w:hAnsi="Arial" w:cs="Arial"/>
          <w:color w:val="595959" w:themeColor="text1" w:themeTint="A6"/>
          <w:szCs w:val="26"/>
          <w:lang w:val="es-MX" w:eastAsia="es-MX"/>
        </w:rPr>
      </w:pPr>
      <w:r w:rsidRPr="00223224">
        <w:rPr>
          <w:rFonts w:ascii="Arial" w:hAnsi="Arial" w:cs="Arial"/>
          <w:color w:val="595959" w:themeColor="text1" w:themeTint="A6"/>
          <w:szCs w:val="26"/>
          <w:lang w:val="es-MX" w:eastAsia="es-MX"/>
        </w:rPr>
        <w:tab/>
        <w:t>Por lo anteriormente expuesto y fundado se:</w:t>
      </w:r>
    </w:p>
    <w:p w:rsidR="00F85D7B" w:rsidRPr="00223224" w:rsidRDefault="00F85D7B" w:rsidP="0023298C">
      <w:pPr>
        <w:shd w:val="clear" w:color="auto" w:fill="FFFFFF"/>
        <w:jc w:val="center"/>
        <w:outlineLvl w:val="0"/>
        <w:rPr>
          <w:rFonts w:ascii="Arial" w:hAnsi="Arial" w:cs="Arial"/>
          <w:b/>
          <w:bCs/>
          <w:color w:val="595959" w:themeColor="text1" w:themeTint="A6"/>
          <w:szCs w:val="26"/>
          <w:lang w:val="es-MX" w:eastAsia="es-MX"/>
        </w:rPr>
      </w:pPr>
      <w:r w:rsidRPr="00223224">
        <w:rPr>
          <w:rFonts w:ascii="Arial" w:hAnsi="Arial" w:cs="Arial"/>
          <w:b/>
          <w:bCs/>
          <w:color w:val="595959" w:themeColor="text1" w:themeTint="A6"/>
          <w:szCs w:val="26"/>
          <w:lang w:val="es-MX" w:eastAsia="es-MX"/>
        </w:rPr>
        <w:t>R E S U E L V E:</w:t>
      </w:r>
    </w:p>
    <w:p w:rsidR="000967F2" w:rsidRPr="00223224" w:rsidRDefault="00F85D7B" w:rsidP="000967F2">
      <w:pPr>
        <w:spacing w:before="240" w:after="240"/>
        <w:rPr>
          <w:rFonts w:ascii="Arial" w:hAnsi="Arial" w:cs="Arial"/>
          <w:color w:val="595959" w:themeColor="text1" w:themeTint="A6"/>
        </w:rPr>
      </w:pPr>
      <w:r w:rsidRPr="00223224">
        <w:rPr>
          <w:rFonts w:ascii="Arial" w:hAnsi="Arial" w:cs="Arial"/>
          <w:b/>
          <w:color w:val="595959" w:themeColor="text1" w:themeTint="A6"/>
        </w:rPr>
        <w:tab/>
      </w:r>
      <w:r w:rsidR="000967F2" w:rsidRPr="00223224">
        <w:rPr>
          <w:rFonts w:ascii="Arial" w:hAnsi="Arial" w:cs="Arial"/>
          <w:b/>
          <w:color w:val="595959" w:themeColor="text1" w:themeTint="A6"/>
        </w:rPr>
        <w:t xml:space="preserve">ÚNICO. </w:t>
      </w:r>
      <w:r w:rsidR="000967F2" w:rsidRPr="00223224">
        <w:rPr>
          <w:rFonts w:ascii="Arial" w:hAnsi="Arial" w:cs="Arial"/>
          <w:color w:val="595959" w:themeColor="text1" w:themeTint="A6"/>
        </w:rPr>
        <w:t xml:space="preserve">Se </w:t>
      </w:r>
      <w:r w:rsidR="00FD42F0" w:rsidRPr="00223224">
        <w:rPr>
          <w:rFonts w:ascii="Arial" w:hAnsi="Arial" w:cs="Arial"/>
          <w:color w:val="595959" w:themeColor="text1" w:themeTint="A6"/>
        </w:rPr>
        <w:t>modifica</w:t>
      </w:r>
      <w:r w:rsidR="000967F2" w:rsidRPr="00223224">
        <w:rPr>
          <w:rFonts w:ascii="Arial" w:hAnsi="Arial" w:cs="Arial"/>
          <w:color w:val="595959" w:themeColor="text1" w:themeTint="A6"/>
        </w:rPr>
        <w:t xml:space="preserve"> </w:t>
      </w:r>
      <w:r w:rsidR="00F012A1" w:rsidRPr="00223224">
        <w:rPr>
          <w:rFonts w:ascii="Arial" w:hAnsi="Arial" w:cs="Arial"/>
          <w:color w:val="595959" w:themeColor="text1" w:themeTint="A6"/>
        </w:rPr>
        <w:t>la respuesta emitida por el sujeto obligado por las razones expuestas en el considerando tercero de la presente resolución.</w:t>
      </w:r>
    </w:p>
    <w:p w:rsidR="00F85D7B" w:rsidRPr="00223224" w:rsidRDefault="00F85D7B" w:rsidP="00F85D7B">
      <w:pPr>
        <w:spacing w:before="240" w:after="240"/>
        <w:rPr>
          <w:rFonts w:ascii="Arial" w:hAnsi="Arial" w:cs="Arial"/>
          <w:color w:val="595959" w:themeColor="text1" w:themeTint="A6"/>
        </w:rPr>
      </w:pPr>
      <w:r w:rsidRPr="00223224">
        <w:rPr>
          <w:rFonts w:ascii="Arial" w:hAnsi="Arial" w:cs="Arial"/>
          <w:color w:val="595959" w:themeColor="text1" w:themeTint="A6"/>
        </w:rPr>
        <w:tab/>
        <w:t>Notifíquese personalmente a las partes el contenido de la presente resolución, de conformidad con el artículo 177 de la Ley de Transparencia y Acceso a la Información Pública del Estado.</w:t>
      </w:r>
    </w:p>
    <w:p w:rsidR="00F85D7B" w:rsidRPr="00223224" w:rsidRDefault="00F85D7B" w:rsidP="00F85D7B">
      <w:pPr>
        <w:spacing w:before="240" w:after="240"/>
        <w:rPr>
          <w:rFonts w:ascii="Arial" w:hAnsi="Arial" w:cs="Arial"/>
          <w:color w:val="595959" w:themeColor="text1" w:themeTint="A6"/>
        </w:rPr>
      </w:pPr>
      <w:r w:rsidRPr="00223224">
        <w:rPr>
          <w:rFonts w:ascii="Arial" w:hAnsi="Arial" w:cs="Arial"/>
          <w:color w:val="595959" w:themeColor="text1" w:themeTint="A6"/>
        </w:rPr>
        <w:tab/>
        <w:t>La notificación que se realice al sujeto obligado será, con fundamento en el artículo 58 de la Ley de Transparencia y Acceso a la Información Pública del Estado, a través de la Unidad de Transparencia.</w:t>
      </w:r>
    </w:p>
    <w:p w:rsidR="00F85D7B" w:rsidRPr="00223224" w:rsidRDefault="00F85D7B" w:rsidP="00F85D7B">
      <w:pPr>
        <w:spacing w:before="240" w:after="240"/>
        <w:rPr>
          <w:rFonts w:ascii="Arial" w:hAnsi="Arial" w:cs="Arial"/>
          <w:color w:val="595959" w:themeColor="text1" w:themeTint="A6"/>
        </w:rPr>
      </w:pPr>
      <w:r w:rsidRPr="00223224">
        <w:rPr>
          <w:rFonts w:ascii="Arial" w:hAnsi="Arial" w:cs="Arial"/>
          <w:color w:val="595959" w:themeColor="text1" w:themeTint="A6"/>
        </w:rPr>
        <w:tab/>
        <w:t>Se hace de conocimiento del recurrente que, en caso de no estar de acuerdo con los términos de la resolución dictada, podrá impugnar la presente resolución a través del Juicio de Amparo indirecto que promueva ante el Poder Judicial de la Federación. Lo anterior con fundamento en el artículo 159 de la Ley General de Transparencia y Acceso a la Información Pública.</w:t>
      </w:r>
    </w:p>
    <w:p w:rsidR="00F85D7B" w:rsidRPr="00223224" w:rsidRDefault="00F85D7B" w:rsidP="00F85D7B">
      <w:pPr>
        <w:spacing w:before="240" w:after="240"/>
        <w:rPr>
          <w:rFonts w:ascii="Arial" w:hAnsi="Arial" w:cs="Arial"/>
          <w:color w:val="595959" w:themeColor="text1" w:themeTint="A6"/>
        </w:rPr>
      </w:pPr>
      <w:r w:rsidRPr="00223224">
        <w:rPr>
          <w:rFonts w:ascii="Arial" w:hAnsi="Arial" w:cs="Arial"/>
          <w:color w:val="595959" w:themeColor="text1" w:themeTint="A6"/>
        </w:rPr>
        <w:lastRenderedPageBreak/>
        <w:tab/>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w:t>
      </w:r>
      <w:r w:rsidR="004A0B15" w:rsidRPr="00223224">
        <w:rPr>
          <w:rFonts w:ascii="Arial" w:hAnsi="Arial" w:cs="Arial"/>
          <w:color w:val="595959" w:themeColor="text1" w:themeTint="A6"/>
        </w:rPr>
        <w:t>extraordinaria</w:t>
      </w:r>
      <w:r w:rsidRPr="00223224">
        <w:rPr>
          <w:rFonts w:ascii="Arial" w:hAnsi="Arial" w:cs="Arial"/>
          <w:color w:val="595959" w:themeColor="text1" w:themeTint="A6"/>
        </w:rPr>
        <w:t xml:space="preserve"> del </w:t>
      </w:r>
      <w:r w:rsidR="007037C7" w:rsidRPr="00223224">
        <w:rPr>
          <w:rFonts w:ascii="Arial" w:hAnsi="Arial" w:cs="Arial"/>
          <w:color w:val="595959" w:themeColor="text1" w:themeTint="A6"/>
        </w:rPr>
        <w:t>siete de marzo</w:t>
      </w:r>
      <w:r w:rsidR="009D33D9" w:rsidRPr="00223224">
        <w:rPr>
          <w:rFonts w:ascii="Arial" w:hAnsi="Arial" w:cs="Arial"/>
          <w:color w:val="595959" w:themeColor="text1" w:themeTint="A6"/>
        </w:rPr>
        <w:t xml:space="preserve"> </w:t>
      </w:r>
      <w:r w:rsidR="005E1FFF" w:rsidRPr="00223224">
        <w:rPr>
          <w:rFonts w:ascii="Arial" w:hAnsi="Arial" w:cs="Arial"/>
          <w:color w:val="595959" w:themeColor="text1" w:themeTint="A6"/>
        </w:rPr>
        <w:t xml:space="preserve"> de dos mil dieciocho</w:t>
      </w:r>
      <w:r w:rsidRPr="00223224">
        <w:rPr>
          <w:rFonts w:ascii="Arial" w:hAnsi="Arial" w:cs="Arial"/>
          <w:color w:val="595959" w:themeColor="text1" w:themeTint="A6"/>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678"/>
      </w:tblGrid>
      <w:tr w:rsidR="00F85D7B" w:rsidRPr="00223224" w:rsidTr="005001E9">
        <w:tc>
          <w:tcPr>
            <w:tcW w:w="4219" w:type="dxa"/>
          </w:tcPr>
          <w:p w:rsidR="00F85D7B" w:rsidRPr="00223224" w:rsidRDefault="00F85D7B" w:rsidP="000E3570">
            <w:pPr>
              <w:spacing w:after="240"/>
              <w:jc w:val="center"/>
              <w:rPr>
                <w:rFonts w:ascii="Arial" w:hAnsi="Arial" w:cs="Arial"/>
                <w:b/>
                <w:color w:val="595959" w:themeColor="text1" w:themeTint="A6"/>
                <w:sz w:val="24"/>
                <w:szCs w:val="26"/>
              </w:rPr>
            </w:pPr>
            <w:r w:rsidRPr="00223224">
              <w:rPr>
                <w:rFonts w:ascii="Arial" w:hAnsi="Arial" w:cs="Arial"/>
                <w:b/>
                <w:color w:val="595959" w:themeColor="text1" w:themeTint="A6"/>
                <w:sz w:val="24"/>
                <w:szCs w:val="26"/>
              </w:rPr>
              <w:t>COMISIONADO PRESIDENTE</w:t>
            </w:r>
          </w:p>
          <w:p w:rsidR="00F85D7B" w:rsidRPr="00223224" w:rsidRDefault="00F85D7B" w:rsidP="000E3570">
            <w:pPr>
              <w:spacing w:before="240" w:after="240"/>
              <w:jc w:val="center"/>
              <w:rPr>
                <w:rFonts w:ascii="Arial" w:hAnsi="Arial" w:cs="Arial"/>
                <w:b/>
                <w:color w:val="595959" w:themeColor="text1" w:themeTint="A6"/>
                <w:sz w:val="24"/>
                <w:szCs w:val="26"/>
              </w:rPr>
            </w:pPr>
          </w:p>
          <w:p w:rsidR="00F85D7B" w:rsidRPr="00223224" w:rsidRDefault="00F85D7B" w:rsidP="000E3570">
            <w:pPr>
              <w:spacing w:before="240" w:after="240"/>
              <w:jc w:val="center"/>
              <w:rPr>
                <w:rFonts w:ascii="Arial" w:hAnsi="Arial" w:cs="Arial"/>
                <w:color w:val="595959" w:themeColor="text1" w:themeTint="A6"/>
              </w:rPr>
            </w:pPr>
            <w:r w:rsidRPr="00223224">
              <w:rPr>
                <w:rFonts w:ascii="Arial" w:hAnsi="Arial" w:cs="Arial"/>
                <w:b/>
                <w:color w:val="595959" w:themeColor="text1" w:themeTint="A6"/>
                <w:sz w:val="24"/>
                <w:szCs w:val="26"/>
              </w:rPr>
              <w:t>ALEJANDRO LAFUENTE TORRES</w:t>
            </w:r>
          </w:p>
        </w:tc>
        <w:tc>
          <w:tcPr>
            <w:tcW w:w="4678" w:type="dxa"/>
          </w:tcPr>
          <w:p w:rsidR="00F85D7B" w:rsidRPr="00223224" w:rsidRDefault="00F85D7B" w:rsidP="000E3570">
            <w:pPr>
              <w:spacing w:after="240"/>
              <w:ind w:left="48"/>
              <w:jc w:val="center"/>
              <w:rPr>
                <w:rFonts w:ascii="Arial" w:hAnsi="Arial" w:cs="Arial"/>
                <w:b/>
                <w:color w:val="595959" w:themeColor="text1" w:themeTint="A6"/>
                <w:sz w:val="24"/>
                <w:szCs w:val="26"/>
              </w:rPr>
            </w:pPr>
            <w:r w:rsidRPr="00223224">
              <w:rPr>
                <w:rFonts w:ascii="Arial" w:hAnsi="Arial" w:cs="Arial"/>
                <w:b/>
                <w:color w:val="595959" w:themeColor="text1" w:themeTint="A6"/>
                <w:sz w:val="24"/>
                <w:szCs w:val="26"/>
              </w:rPr>
              <w:t>COMISIONADA</w:t>
            </w:r>
          </w:p>
          <w:p w:rsidR="00F85D7B" w:rsidRPr="00223224" w:rsidRDefault="00F85D7B" w:rsidP="000E3570">
            <w:pPr>
              <w:spacing w:before="240" w:after="240"/>
              <w:jc w:val="center"/>
              <w:rPr>
                <w:rFonts w:ascii="Arial" w:hAnsi="Arial" w:cs="Arial"/>
                <w:b/>
                <w:color w:val="595959" w:themeColor="text1" w:themeTint="A6"/>
                <w:sz w:val="24"/>
                <w:szCs w:val="26"/>
              </w:rPr>
            </w:pPr>
          </w:p>
          <w:p w:rsidR="00F85D7B" w:rsidRPr="00223224" w:rsidRDefault="00F85D7B" w:rsidP="000E3570">
            <w:pPr>
              <w:spacing w:before="240" w:after="240"/>
              <w:jc w:val="center"/>
              <w:rPr>
                <w:rFonts w:ascii="Arial" w:hAnsi="Arial" w:cs="Arial"/>
                <w:b/>
                <w:color w:val="595959" w:themeColor="text1" w:themeTint="A6"/>
                <w:sz w:val="24"/>
                <w:szCs w:val="26"/>
              </w:rPr>
            </w:pPr>
            <w:r w:rsidRPr="00223224">
              <w:rPr>
                <w:rFonts w:ascii="Arial" w:hAnsi="Arial" w:cs="Arial"/>
                <w:b/>
                <w:color w:val="595959" w:themeColor="text1" w:themeTint="A6"/>
                <w:sz w:val="24"/>
                <w:szCs w:val="26"/>
              </w:rPr>
              <w:t>PAULINA SÁNCHEZ PÉREZ DEL POZO</w:t>
            </w:r>
          </w:p>
          <w:p w:rsidR="00F85D7B" w:rsidRPr="00223224" w:rsidRDefault="00F85D7B" w:rsidP="000E3570">
            <w:pPr>
              <w:spacing w:before="240" w:after="240"/>
              <w:jc w:val="center"/>
              <w:rPr>
                <w:rFonts w:ascii="Arial" w:hAnsi="Arial" w:cs="Arial"/>
                <w:color w:val="595959" w:themeColor="text1" w:themeTint="A6"/>
              </w:rPr>
            </w:pPr>
          </w:p>
        </w:tc>
      </w:tr>
      <w:tr w:rsidR="00F85D7B" w:rsidRPr="00223224" w:rsidTr="005001E9">
        <w:trPr>
          <w:trHeight w:val="2075"/>
        </w:trPr>
        <w:tc>
          <w:tcPr>
            <w:tcW w:w="4219" w:type="dxa"/>
          </w:tcPr>
          <w:p w:rsidR="00F85D7B" w:rsidRPr="00223224" w:rsidRDefault="00F85D7B" w:rsidP="000E3570">
            <w:pPr>
              <w:spacing w:after="240" w:line="276" w:lineRule="auto"/>
              <w:jc w:val="center"/>
              <w:rPr>
                <w:rFonts w:ascii="Arial" w:hAnsi="Arial" w:cs="Arial"/>
                <w:b/>
                <w:color w:val="595959" w:themeColor="text1" w:themeTint="A6"/>
                <w:sz w:val="24"/>
                <w:szCs w:val="26"/>
              </w:rPr>
            </w:pPr>
            <w:r w:rsidRPr="00223224">
              <w:rPr>
                <w:rFonts w:ascii="Arial" w:hAnsi="Arial" w:cs="Arial"/>
                <w:b/>
                <w:color w:val="595959" w:themeColor="text1" w:themeTint="A6"/>
                <w:sz w:val="24"/>
                <w:szCs w:val="26"/>
              </w:rPr>
              <w:t>COMISIONADA</w:t>
            </w:r>
          </w:p>
          <w:p w:rsidR="00F85D7B" w:rsidRPr="00223224" w:rsidRDefault="00F85D7B" w:rsidP="000E3570">
            <w:pPr>
              <w:spacing w:line="276" w:lineRule="auto"/>
              <w:rPr>
                <w:rFonts w:ascii="Arial" w:hAnsi="Arial" w:cs="Arial"/>
                <w:b/>
                <w:color w:val="595959" w:themeColor="text1" w:themeTint="A6"/>
                <w:sz w:val="24"/>
                <w:szCs w:val="26"/>
              </w:rPr>
            </w:pPr>
          </w:p>
          <w:p w:rsidR="00F85D7B" w:rsidRPr="00223224" w:rsidRDefault="00F85D7B" w:rsidP="000E3570">
            <w:pPr>
              <w:rPr>
                <w:rFonts w:ascii="Arial" w:hAnsi="Arial" w:cs="Arial"/>
                <w:b/>
                <w:color w:val="595959" w:themeColor="text1" w:themeTint="A6"/>
                <w:sz w:val="24"/>
                <w:szCs w:val="26"/>
              </w:rPr>
            </w:pPr>
          </w:p>
          <w:p w:rsidR="00F85D7B" w:rsidRPr="00223224" w:rsidRDefault="00F85D7B" w:rsidP="000E3570">
            <w:pPr>
              <w:spacing w:before="240" w:after="240" w:line="276" w:lineRule="auto"/>
              <w:jc w:val="center"/>
              <w:rPr>
                <w:rFonts w:ascii="Arial" w:hAnsi="Arial" w:cs="Arial"/>
                <w:color w:val="595959" w:themeColor="text1" w:themeTint="A6"/>
              </w:rPr>
            </w:pPr>
            <w:r w:rsidRPr="00223224">
              <w:rPr>
                <w:rFonts w:ascii="Arial" w:hAnsi="Arial" w:cs="Arial"/>
                <w:b/>
                <w:color w:val="595959" w:themeColor="text1" w:themeTint="A6"/>
                <w:sz w:val="24"/>
                <w:szCs w:val="26"/>
              </w:rPr>
              <w:t>CLAUDIA ELIZABETH ÁVALOS CEDILLO</w:t>
            </w:r>
          </w:p>
        </w:tc>
        <w:tc>
          <w:tcPr>
            <w:tcW w:w="4678" w:type="dxa"/>
          </w:tcPr>
          <w:p w:rsidR="00F85D7B" w:rsidRPr="00223224" w:rsidRDefault="00F85D7B" w:rsidP="000E3570">
            <w:pPr>
              <w:ind w:left="48" w:firstLine="2"/>
              <w:jc w:val="center"/>
              <w:rPr>
                <w:rFonts w:ascii="Arial" w:hAnsi="Arial" w:cs="Arial"/>
                <w:b/>
                <w:color w:val="595959" w:themeColor="text1" w:themeTint="A6"/>
                <w:sz w:val="24"/>
                <w:szCs w:val="26"/>
              </w:rPr>
            </w:pPr>
            <w:r w:rsidRPr="00223224">
              <w:rPr>
                <w:rFonts w:ascii="Arial" w:hAnsi="Arial" w:cs="Arial"/>
                <w:b/>
                <w:color w:val="595959" w:themeColor="text1" w:themeTint="A6"/>
                <w:sz w:val="24"/>
                <w:szCs w:val="26"/>
              </w:rPr>
              <w:t>SECRETARIA DE PLENO</w:t>
            </w:r>
          </w:p>
          <w:p w:rsidR="00F85D7B" w:rsidRPr="00223224" w:rsidRDefault="00F85D7B" w:rsidP="000E3570">
            <w:pPr>
              <w:ind w:left="48"/>
              <w:jc w:val="center"/>
              <w:rPr>
                <w:rFonts w:ascii="Arial" w:hAnsi="Arial" w:cs="Arial"/>
                <w:b/>
                <w:color w:val="595959" w:themeColor="text1" w:themeTint="A6"/>
                <w:sz w:val="24"/>
                <w:szCs w:val="26"/>
              </w:rPr>
            </w:pPr>
          </w:p>
          <w:p w:rsidR="00F85D7B" w:rsidRPr="00223224" w:rsidRDefault="00F85D7B" w:rsidP="000E3570">
            <w:pPr>
              <w:spacing w:before="240"/>
              <w:rPr>
                <w:rFonts w:ascii="Arial" w:hAnsi="Arial" w:cs="Arial"/>
                <w:b/>
                <w:color w:val="595959" w:themeColor="text1" w:themeTint="A6"/>
                <w:sz w:val="24"/>
                <w:szCs w:val="26"/>
              </w:rPr>
            </w:pPr>
          </w:p>
          <w:p w:rsidR="00F85D7B" w:rsidRPr="00223224" w:rsidRDefault="00F85D7B" w:rsidP="000E3570">
            <w:pPr>
              <w:ind w:left="48"/>
              <w:jc w:val="center"/>
              <w:rPr>
                <w:rFonts w:ascii="Arial" w:hAnsi="Arial" w:cs="Arial"/>
                <w:b/>
                <w:color w:val="595959" w:themeColor="text1" w:themeTint="A6"/>
                <w:sz w:val="24"/>
                <w:szCs w:val="26"/>
              </w:rPr>
            </w:pPr>
            <w:r w:rsidRPr="00223224">
              <w:rPr>
                <w:rFonts w:ascii="Arial" w:hAnsi="Arial" w:cs="Arial"/>
                <w:b/>
                <w:color w:val="595959" w:themeColor="text1" w:themeTint="A6"/>
                <w:sz w:val="24"/>
                <w:szCs w:val="26"/>
              </w:rPr>
              <w:t>ROSA MARÍA MOTILLA GARCÍA</w:t>
            </w:r>
          </w:p>
        </w:tc>
      </w:tr>
    </w:tbl>
    <w:tbl>
      <w:tblPr>
        <w:tblW w:w="10613" w:type="dxa"/>
        <w:jc w:val="center"/>
        <w:tblLook w:val="01E0"/>
      </w:tblPr>
      <w:tblGrid>
        <w:gridCol w:w="4880"/>
        <w:gridCol w:w="358"/>
        <w:gridCol w:w="5375"/>
      </w:tblGrid>
      <w:tr w:rsidR="00F85D7B" w:rsidRPr="00223224" w:rsidTr="005001E9">
        <w:trPr>
          <w:trHeight w:val="126"/>
          <w:jc w:val="center"/>
        </w:trPr>
        <w:tc>
          <w:tcPr>
            <w:tcW w:w="4880" w:type="dxa"/>
          </w:tcPr>
          <w:p w:rsidR="00F85D7B" w:rsidRPr="00223224" w:rsidRDefault="00F85D7B" w:rsidP="000E3570">
            <w:pPr>
              <w:ind w:left="97"/>
              <w:jc w:val="center"/>
              <w:rPr>
                <w:rFonts w:ascii="Arial" w:hAnsi="Arial" w:cs="Arial"/>
                <w:b/>
                <w:color w:val="595959" w:themeColor="text1" w:themeTint="A6"/>
                <w:szCs w:val="26"/>
              </w:rPr>
            </w:pPr>
          </w:p>
        </w:tc>
        <w:tc>
          <w:tcPr>
            <w:tcW w:w="358" w:type="dxa"/>
          </w:tcPr>
          <w:p w:rsidR="00F85D7B" w:rsidRPr="00223224" w:rsidRDefault="00F85D7B" w:rsidP="000E3570">
            <w:pPr>
              <w:ind w:left="360" w:firstLine="708"/>
              <w:jc w:val="center"/>
              <w:rPr>
                <w:rFonts w:ascii="Arial" w:hAnsi="Arial" w:cs="Arial"/>
                <w:b/>
                <w:color w:val="595959" w:themeColor="text1" w:themeTint="A6"/>
                <w:szCs w:val="26"/>
              </w:rPr>
            </w:pPr>
          </w:p>
        </w:tc>
        <w:tc>
          <w:tcPr>
            <w:tcW w:w="5375" w:type="dxa"/>
          </w:tcPr>
          <w:p w:rsidR="00F85D7B" w:rsidRPr="00223224" w:rsidRDefault="00F85D7B" w:rsidP="000E3570">
            <w:pPr>
              <w:jc w:val="center"/>
              <w:rPr>
                <w:rFonts w:ascii="Arial" w:hAnsi="Arial" w:cs="Arial"/>
                <w:b/>
                <w:color w:val="595959" w:themeColor="text1" w:themeTint="A6"/>
                <w:szCs w:val="26"/>
              </w:rPr>
            </w:pPr>
          </w:p>
        </w:tc>
      </w:tr>
    </w:tbl>
    <w:p w:rsidR="00F85D7B" w:rsidRPr="00223224" w:rsidRDefault="00F85D7B" w:rsidP="00F85D7B">
      <w:pPr>
        <w:spacing w:after="240" w:line="240" w:lineRule="auto"/>
        <w:rPr>
          <w:rFonts w:ascii="Arial" w:hAnsi="Arial" w:cs="Arial"/>
          <w:color w:val="595959" w:themeColor="text1" w:themeTint="A6"/>
          <w:sz w:val="18"/>
        </w:rPr>
      </w:pPr>
      <w:r w:rsidRPr="00223224">
        <w:rPr>
          <w:rFonts w:ascii="Arial" w:hAnsi="Arial" w:cs="Arial"/>
          <w:color w:val="595959" w:themeColor="text1" w:themeTint="A6"/>
          <w:sz w:val="18"/>
        </w:rPr>
        <w:tab/>
        <w:t>Estas firmas pertenecen a la última foja de la resolución pronunciad</w:t>
      </w:r>
      <w:r w:rsidR="006C1DAE" w:rsidRPr="00223224">
        <w:rPr>
          <w:rFonts w:ascii="Arial" w:hAnsi="Arial" w:cs="Arial"/>
          <w:color w:val="595959" w:themeColor="text1" w:themeTint="A6"/>
          <w:sz w:val="18"/>
        </w:rPr>
        <w:t>a en el recurso de revisión  0</w:t>
      </w:r>
      <w:r w:rsidR="007037C7" w:rsidRPr="00223224">
        <w:rPr>
          <w:rFonts w:ascii="Arial" w:hAnsi="Arial" w:cs="Arial"/>
          <w:color w:val="595959" w:themeColor="text1" w:themeTint="A6"/>
          <w:sz w:val="18"/>
        </w:rPr>
        <w:t>48</w:t>
      </w:r>
      <w:r w:rsidR="00D02FBD" w:rsidRPr="00223224">
        <w:rPr>
          <w:rFonts w:ascii="Arial" w:hAnsi="Arial" w:cs="Arial"/>
          <w:color w:val="595959" w:themeColor="text1" w:themeTint="A6"/>
          <w:sz w:val="18"/>
        </w:rPr>
        <w:t>/2018</w:t>
      </w:r>
      <w:r w:rsidRPr="00223224">
        <w:rPr>
          <w:rFonts w:ascii="Arial" w:hAnsi="Arial" w:cs="Arial"/>
          <w:color w:val="595959" w:themeColor="text1" w:themeTint="A6"/>
          <w:sz w:val="18"/>
        </w:rPr>
        <w:t>-3 a</w:t>
      </w:r>
      <w:r w:rsidR="006120B7" w:rsidRPr="00223224">
        <w:rPr>
          <w:rFonts w:ascii="Arial" w:hAnsi="Arial" w:cs="Arial"/>
          <w:color w:val="595959" w:themeColor="text1" w:themeTint="A6"/>
          <w:sz w:val="18"/>
        </w:rPr>
        <w:t xml:space="preserve">probada en sesión </w:t>
      </w:r>
      <w:r w:rsidR="004A0B15" w:rsidRPr="00223224">
        <w:rPr>
          <w:rFonts w:ascii="Arial" w:hAnsi="Arial" w:cs="Arial"/>
          <w:color w:val="595959" w:themeColor="text1" w:themeTint="A6"/>
          <w:sz w:val="18"/>
        </w:rPr>
        <w:t xml:space="preserve">extraordinaria del </w:t>
      </w:r>
      <w:r w:rsidR="007037C7" w:rsidRPr="00223224">
        <w:rPr>
          <w:rFonts w:ascii="Arial" w:hAnsi="Arial" w:cs="Arial"/>
          <w:color w:val="595959" w:themeColor="text1" w:themeTint="A6"/>
          <w:sz w:val="18"/>
        </w:rPr>
        <w:t>siete</w:t>
      </w:r>
      <w:r w:rsidR="00D02FBD" w:rsidRPr="00223224">
        <w:rPr>
          <w:rFonts w:ascii="Arial" w:hAnsi="Arial" w:cs="Arial"/>
          <w:color w:val="595959" w:themeColor="text1" w:themeTint="A6"/>
          <w:sz w:val="18"/>
        </w:rPr>
        <w:t xml:space="preserve"> de</w:t>
      </w:r>
      <w:bookmarkStart w:id="0" w:name="_GoBack"/>
      <w:bookmarkEnd w:id="0"/>
      <w:r w:rsidR="00D02FBD" w:rsidRPr="00223224">
        <w:rPr>
          <w:rFonts w:ascii="Arial" w:hAnsi="Arial" w:cs="Arial"/>
          <w:color w:val="595959" w:themeColor="text1" w:themeTint="A6"/>
          <w:sz w:val="18"/>
        </w:rPr>
        <w:t xml:space="preserve"> </w:t>
      </w:r>
      <w:r w:rsidR="007037C7" w:rsidRPr="00223224">
        <w:rPr>
          <w:rFonts w:ascii="Arial" w:hAnsi="Arial" w:cs="Arial"/>
          <w:color w:val="595959" w:themeColor="text1" w:themeTint="A6"/>
          <w:sz w:val="18"/>
        </w:rPr>
        <w:t>marzo</w:t>
      </w:r>
      <w:r w:rsidR="005E1FFF" w:rsidRPr="00223224">
        <w:rPr>
          <w:rFonts w:ascii="Arial" w:hAnsi="Arial" w:cs="Arial"/>
          <w:color w:val="595959" w:themeColor="text1" w:themeTint="A6"/>
          <w:sz w:val="18"/>
        </w:rPr>
        <w:t xml:space="preserve"> de dos mil dieciocho</w:t>
      </w:r>
      <w:r w:rsidRPr="00223224">
        <w:rPr>
          <w:rFonts w:ascii="Arial" w:hAnsi="Arial" w:cs="Arial"/>
          <w:color w:val="595959" w:themeColor="text1" w:themeTint="A6"/>
          <w:sz w:val="18"/>
        </w:rPr>
        <w:t>.</w:t>
      </w:r>
    </w:p>
    <w:p w:rsidR="005001E9" w:rsidRPr="00223224" w:rsidRDefault="00F85D7B" w:rsidP="005001E9">
      <w:pPr>
        <w:spacing w:after="240" w:line="240" w:lineRule="auto"/>
        <w:rPr>
          <w:rFonts w:ascii="Arial" w:hAnsi="Arial" w:cs="Arial"/>
          <w:color w:val="595959" w:themeColor="text1" w:themeTint="A6"/>
          <w:sz w:val="18"/>
        </w:rPr>
      </w:pPr>
      <w:r w:rsidRPr="00223224">
        <w:rPr>
          <w:rFonts w:ascii="Arial" w:hAnsi="Arial" w:cs="Arial"/>
          <w:color w:val="595959" w:themeColor="text1" w:themeTint="A6"/>
          <w:sz w:val="18"/>
        </w:rPr>
        <w:t xml:space="preserve">Elaboró y Cotejó: </w:t>
      </w:r>
    </w:p>
    <w:p w:rsidR="00F85D7B" w:rsidRPr="00223224" w:rsidRDefault="00F85D7B" w:rsidP="005001E9">
      <w:pPr>
        <w:spacing w:after="240" w:line="240" w:lineRule="auto"/>
        <w:rPr>
          <w:rFonts w:ascii="Arial" w:hAnsi="Arial" w:cs="Arial"/>
          <w:color w:val="595959" w:themeColor="text1" w:themeTint="A6"/>
        </w:rPr>
      </w:pPr>
      <w:r w:rsidRPr="00223224">
        <w:rPr>
          <w:rFonts w:ascii="Arial" w:hAnsi="Arial" w:cs="Arial"/>
          <w:color w:val="595959" w:themeColor="text1" w:themeTint="A6"/>
          <w:sz w:val="18"/>
        </w:rPr>
        <w:t>EAGL</w:t>
      </w:r>
      <w:r w:rsidRPr="00223224">
        <w:rPr>
          <w:rFonts w:ascii="Arial" w:hAnsi="Arial" w:cs="Arial"/>
          <w:color w:val="595959" w:themeColor="text1" w:themeTint="A6"/>
        </w:rPr>
        <w:tab/>
      </w:r>
    </w:p>
    <w:sectPr w:rsidR="00F85D7B" w:rsidRPr="00223224" w:rsidSect="00EE69A4">
      <w:headerReference w:type="even" r:id="rId17"/>
      <w:headerReference w:type="default" r:id="rId18"/>
      <w:headerReference w:type="first" r:id="rId19"/>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6EE" w:rsidRDefault="006006EE" w:rsidP="00EE69A4">
      <w:pPr>
        <w:spacing w:line="240" w:lineRule="auto"/>
      </w:pPr>
      <w:r>
        <w:separator/>
      </w:r>
    </w:p>
  </w:endnote>
  <w:endnote w:type="continuationSeparator" w:id="0">
    <w:p w:rsidR="006006EE" w:rsidRDefault="006006EE"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6EE" w:rsidRDefault="006006EE" w:rsidP="00EE69A4">
      <w:pPr>
        <w:spacing w:line="240" w:lineRule="auto"/>
      </w:pPr>
      <w:r>
        <w:separator/>
      </w:r>
    </w:p>
  </w:footnote>
  <w:footnote w:type="continuationSeparator" w:id="0">
    <w:p w:rsidR="006006EE" w:rsidRDefault="006006EE" w:rsidP="00EE69A4">
      <w:pPr>
        <w:spacing w:line="240" w:lineRule="auto"/>
      </w:pPr>
      <w:r>
        <w:continuationSeparator/>
      </w:r>
    </w:p>
  </w:footnote>
  <w:footnote w:id="1">
    <w:p w:rsidR="00FB18C1" w:rsidRPr="00D30712" w:rsidRDefault="00FB18C1" w:rsidP="00FB18C1">
      <w:pPr>
        <w:autoSpaceDE w:val="0"/>
        <w:autoSpaceDN w:val="0"/>
        <w:adjustRightInd w:val="0"/>
        <w:spacing w:line="240" w:lineRule="auto"/>
        <w:rPr>
          <w:rFonts w:ascii="Calibri" w:hAnsi="Calibri" w:cs="Calibri"/>
          <w:sz w:val="24"/>
          <w:lang w:val="es-MX" w:eastAsia="en-US"/>
        </w:rPr>
      </w:pPr>
      <w:r>
        <w:rPr>
          <w:rStyle w:val="Refdenotaalpie"/>
        </w:rPr>
        <w:footnoteRef/>
      </w:r>
      <w:r>
        <w:t xml:space="preserve"> </w:t>
      </w:r>
      <w:r w:rsidRPr="00D30712">
        <w:rPr>
          <w:rFonts w:ascii="Arial" w:hAnsi="Arial" w:cs="Arial"/>
          <w:bCs/>
          <w:sz w:val="20"/>
          <w:szCs w:val="20"/>
          <w:lang w:val="es-MX" w:eastAsia="en-US"/>
        </w:rPr>
        <w:t xml:space="preserve">EL DERECHO DE </w:t>
      </w:r>
      <w:r>
        <w:rPr>
          <w:rFonts w:ascii="Arial" w:hAnsi="Arial" w:cs="Arial"/>
          <w:bCs/>
          <w:sz w:val="20"/>
          <w:szCs w:val="20"/>
          <w:lang w:val="es-MX" w:eastAsia="en-US"/>
        </w:rPr>
        <w:t>ACCESO A LA INFORMACIÓN PÚBLICA EN LAS AMÉRICAS “</w:t>
      </w:r>
      <w:r w:rsidRPr="00D30712">
        <w:rPr>
          <w:rFonts w:ascii="Arial" w:hAnsi="Arial" w:cs="Arial"/>
          <w:bCs/>
          <w:sz w:val="20"/>
          <w:szCs w:val="20"/>
          <w:lang w:val="es-MX" w:eastAsia="en-US"/>
        </w:rPr>
        <w:t>Estándares Interamericanos y comparación de marcos legales</w:t>
      </w:r>
      <w:r>
        <w:rPr>
          <w:rFonts w:ascii="Arial" w:hAnsi="Arial" w:cs="Arial"/>
          <w:bCs/>
          <w:sz w:val="20"/>
          <w:szCs w:val="20"/>
          <w:lang w:val="es-MX" w:eastAsia="en-US"/>
        </w:rPr>
        <w:t>” (</w:t>
      </w:r>
      <w:r>
        <w:rPr>
          <w:rFonts w:ascii="Calibri" w:hAnsi="Calibri" w:cs="Calibri"/>
          <w:sz w:val="24"/>
          <w:lang w:val="es-MX" w:eastAsia="en-US"/>
        </w:rPr>
        <w:t xml:space="preserve">Relatoría Especial para la Libertad de Expresión Comisión Interamericana de Derechos Humanos) </w:t>
      </w:r>
      <w:proofErr w:type="spellStart"/>
      <w:r>
        <w:rPr>
          <w:rFonts w:ascii="Calibri" w:hAnsi="Calibri" w:cs="Calibri"/>
          <w:sz w:val="24"/>
          <w:lang w:val="es-MX" w:eastAsia="en-US"/>
        </w:rPr>
        <w:t>pag</w:t>
      </w:r>
      <w:proofErr w:type="spellEnd"/>
      <w:r>
        <w:rPr>
          <w:rFonts w:ascii="Calibri" w:hAnsi="Calibri" w:cs="Calibri"/>
          <w:sz w:val="24"/>
          <w:lang w:val="es-MX" w:eastAsia="en-US"/>
        </w:rPr>
        <w:t>. 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FB18C1" w:rsidRDefault="00BC4307">
        <w:pPr>
          <w:pStyle w:val="Encabezado"/>
          <w:jc w:val="center"/>
        </w:pPr>
        <w:fldSimple w:instr=" PAGE   \* MERGEFORMAT ">
          <w:r w:rsidR="00FB18C1">
            <w:rPr>
              <w:noProof/>
            </w:rPr>
            <w:t>2</w:t>
          </w:r>
        </w:fldSimple>
      </w:p>
    </w:sdtContent>
  </w:sdt>
  <w:p w:rsidR="00FB18C1" w:rsidRDefault="00FB18C1">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FB18C1" w:rsidRDefault="00BC4307">
        <w:pPr>
          <w:pStyle w:val="Encabezado"/>
          <w:jc w:val="center"/>
        </w:pPr>
        <w:fldSimple w:instr=" PAGE   \* MERGEFORMAT ">
          <w:r w:rsidR="00223224">
            <w:rPr>
              <w:noProof/>
            </w:rPr>
            <w:t>22</w:t>
          </w:r>
        </w:fldSimple>
      </w:p>
    </w:sdtContent>
  </w:sdt>
  <w:p w:rsidR="00FB18C1" w:rsidRPr="00EE69A4" w:rsidRDefault="00FB18C1">
    <w:pPr>
      <w:pStyle w:val="Encabezado"/>
      <w:rPr>
        <w:lang w:val="es-MX"/>
      </w:rPr>
    </w:pPr>
    <w:r>
      <w:rPr>
        <w:lang w:val="es-MX"/>
      </w:rPr>
      <w:t>CEGAIP-RR-048/2018-3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FB18C1" w:rsidRDefault="00BC4307">
        <w:pPr>
          <w:pStyle w:val="Encabezado"/>
          <w:jc w:val="center"/>
        </w:pPr>
        <w:fldSimple w:instr=" PAGE   \* MERGEFORMAT ">
          <w:r w:rsidR="00223224">
            <w:rPr>
              <w:noProof/>
            </w:rPr>
            <w:t>1</w:t>
          </w:r>
        </w:fldSimple>
      </w:p>
    </w:sdtContent>
  </w:sdt>
  <w:p w:rsidR="00FB18C1" w:rsidRDefault="00FB18C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F1E8C"/>
    <w:multiLevelType w:val="hybridMultilevel"/>
    <w:tmpl w:val="1CD46C62"/>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2">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5">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6">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7">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8">
    <w:nsid w:val="2F657BA3"/>
    <w:multiLevelType w:val="hybridMultilevel"/>
    <w:tmpl w:val="EB8051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3D540EF"/>
    <w:multiLevelType w:val="hybridMultilevel"/>
    <w:tmpl w:val="A1108954"/>
    <w:lvl w:ilvl="0" w:tplc="080A000F">
      <w:start w:val="1"/>
      <w:numFmt w:val="decimal"/>
      <w:lvlText w:val="%1."/>
      <w:lvlJc w:val="left"/>
      <w:pPr>
        <w:ind w:left="930" w:hanging="360"/>
      </w:p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6EE07B4"/>
    <w:multiLevelType w:val="hybridMultilevel"/>
    <w:tmpl w:val="955A242E"/>
    <w:lvl w:ilvl="0" w:tplc="9DEA8C6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3AA16E65"/>
    <w:multiLevelType w:val="hybridMultilevel"/>
    <w:tmpl w:val="4DE0E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48343992"/>
    <w:multiLevelType w:val="hybridMultilevel"/>
    <w:tmpl w:val="BF04930A"/>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nsid w:val="4879110E"/>
    <w:multiLevelType w:val="hybridMultilevel"/>
    <w:tmpl w:val="09F6A0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90E6854"/>
    <w:multiLevelType w:val="hybridMultilevel"/>
    <w:tmpl w:val="5A04E1CC"/>
    <w:lvl w:ilvl="0" w:tplc="990E1FC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4E887F8B"/>
    <w:multiLevelType w:val="hybridMultilevel"/>
    <w:tmpl w:val="9A52CB18"/>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7">
    <w:nsid w:val="4FB93017"/>
    <w:multiLevelType w:val="hybridMultilevel"/>
    <w:tmpl w:val="4D8A40C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8">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nsid w:val="5311723B"/>
    <w:multiLevelType w:val="hybridMultilevel"/>
    <w:tmpl w:val="1C64A858"/>
    <w:lvl w:ilvl="0" w:tplc="038450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56762D72"/>
    <w:multiLevelType w:val="hybridMultilevel"/>
    <w:tmpl w:val="41C0D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2">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3">
    <w:nsid w:val="6462592B"/>
    <w:multiLevelType w:val="hybridMultilevel"/>
    <w:tmpl w:val="2766B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736E1286"/>
    <w:multiLevelType w:val="hybridMultilevel"/>
    <w:tmpl w:val="469073D8"/>
    <w:lvl w:ilvl="0" w:tplc="1848D0D0">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5">
    <w:nsid w:val="75EB7F57"/>
    <w:multiLevelType w:val="hybridMultilevel"/>
    <w:tmpl w:val="04548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7">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8">
    <w:nsid w:val="7BCB673D"/>
    <w:multiLevelType w:val="hybridMultilevel"/>
    <w:tmpl w:val="BA3641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26"/>
  </w:num>
  <w:num w:numId="3">
    <w:abstractNumId w:val="21"/>
  </w:num>
  <w:num w:numId="4">
    <w:abstractNumId w:val="4"/>
  </w:num>
  <w:num w:numId="5">
    <w:abstractNumId w:val="6"/>
  </w:num>
  <w:num w:numId="6">
    <w:abstractNumId w:val="18"/>
  </w:num>
  <w:num w:numId="7">
    <w:abstractNumId w:val="2"/>
  </w:num>
  <w:num w:numId="8">
    <w:abstractNumId w:val="7"/>
  </w:num>
  <w:num w:numId="9">
    <w:abstractNumId w:val="28"/>
  </w:num>
  <w:num w:numId="10">
    <w:abstractNumId w:val="24"/>
  </w:num>
  <w:num w:numId="11">
    <w:abstractNumId w:val="17"/>
  </w:num>
  <w:num w:numId="12">
    <w:abstractNumId w:val="19"/>
  </w:num>
  <w:num w:numId="13">
    <w:abstractNumId w:val="11"/>
  </w:num>
  <w:num w:numId="14">
    <w:abstractNumId w:val="12"/>
  </w:num>
  <w:num w:numId="15">
    <w:abstractNumId w:val="9"/>
  </w:num>
  <w:num w:numId="16">
    <w:abstractNumId w:val="23"/>
  </w:num>
  <w:num w:numId="17">
    <w:abstractNumId w:val="20"/>
  </w:num>
  <w:num w:numId="18">
    <w:abstractNumId w:val="10"/>
  </w:num>
  <w:num w:numId="19">
    <w:abstractNumId w:val="8"/>
  </w:num>
  <w:num w:numId="20">
    <w:abstractNumId w:val="14"/>
  </w:num>
  <w:num w:numId="21">
    <w:abstractNumId w:val="1"/>
  </w:num>
  <w:num w:numId="22">
    <w:abstractNumId w:val="25"/>
  </w:num>
  <w:num w:numId="23">
    <w:abstractNumId w:val="22"/>
  </w:num>
  <w:num w:numId="24">
    <w:abstractNumId w:val="5"/>
  </w:num>
  <w:num w:numId="25">
    <w:abstractNumId w:val="27"/>
  </w:num>
  <w:num w:numId="26">
    <w:abstractNumId w:val="13"/>
  </w:num>
  <w:num w:numId="27">
    <w:abstractNumId w:val="16"/>
  </w:num>
  <w:num w:numId="28">
    <w:abstractNumId w:val="15"/>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spelling="clean"/>
  <w:defaultTabStop w:val="708"/>
  <w:hyphenationZone w:val="425"/>
  <w:drawingGridHorizontalSpacing w:val="130"/>
  <w:displayHorizontalDrawingGridEvery w:val="2"/>
  <w:displayVerticalDrawingGridEvery w:val="2"/>
  <w:characterSpacingControl w:val="doNotCompress"/>
  <w:hdrShapeDefaults>
    <o:shapedefaults v:ext="edit" spidmax="186370"/>
  </w:hdrShapeDefaults>
  <w:footnotePr>
    <w:footnote w:id="-1"/>
    <w:footnote w:id="0"/>
  </w:footnotePr>
  <w:endnotePr>
    <w:endnote w:id="-1"/>
    <w:endnote w:id="0"/>
  </w:endnotePr>
  <w:compat/>
  <w:rsids>
    <w:rsidRoot w:val="00547C44"/>
    <w:rsid w:val="0000036C"/>
    <w:rsid w:val="00000970"/>
    <w:rsid w:val="000011B1"/>
    <w:rsid w:val="00002D57"/>
    <w:rsid w:val="0001055D"/>
    <w:rsid w:val="00011F94"/>
    <w:rsid w:val="00013C06"/>
    <w:rsid w:val="000177DD"/>
    <w:rsid w:val="00033326"/>
    <w:rsid w:val="00037408"/>
    <w:rsid w:val="000425FE"/>
    <w:rsid w:val="0004354C"/>
    <w:rsid w:val="000451BF"/>
    <w:rsid w:val="00061128"/>
    <w:rsid w:val="00062D73"/>
    <w:rsid w:val="00072340"/>
    <w:rsid w:val="00077E33"/>
    <w:rsid w:val="000967F2"/>
    <w:rsid w:val="00096C1B"/>
    <w:rsid w:val="000A1D16"/>
    <w:rsid w:val="000A33AA"/>
    <w:rsid w:val="000A6A64"/>
    <w:rsid w:val="000B38D3"/>
    <w:rsid w:val="000B4951"/>
    <w:rsid w:val="000B55A2"/>
    <w:rsid w:val="000C6676"/>
    <w:rsid w:val="000D1BDE"/>
    <w:rsid w:val="000D5428"/>
    <w:rsid w:val="000D7425"/>
    <w:rsid w:val="000E16E9"/>
    <w:rsid w:val="000E3570"/>
    <w:rsid w:val="000E7BEA"/>
    <w:rsid w:val="000F69BA"/>
    <w:rsid w:val="0011496B"/>
    <w:rsid w:val="001153ED"/>
    <w:rsid w:val="001205B0"/>
    <w:rsid w:val="001271CF"/>
    <w:rsid w:val="00132933"/>
    <w:rsid w:val="00160177"/>
    <w:rsid w:val="00177EEC"/>
    <w:rsid w:val="00190533"/>
    <w:rsid w:val="001A0323"/>
    <w:rsid w:val="001A3F9B"/>
    <w:rsid w:val="001A4183"/>
    <w:rsid w:val="001A4FD4"/>
    <w:rsid w:val="001A7205"/>
    <w:rsid w:val="001A7253"/>
    <w:rsid w:val="001B3E73"/>
    <w:rsid w:val="001B7F3F"/>
    <w:rsid w:val="001D3660"/>
    <w:rsid w:val="001D41A7"/>
    <w:rsid w:val="001F5D11"/>
    <w:rsid w:val="00202A8C"/>
    <w:rsid w:val="002041D3"/>
    <w:rsid w:val="0020477D"/>
    <w:rsid w:val="00220BFA"/>
    <w:rsid w:val="00223224"/>
    <w:rsid w:val="00225A33"/>
    <w:rsid w:val="0023298C"/>
    <w:rsid w:val="00244E9C"/>
    <w:rsid w:val="00247D45"/>
    <w:rsid w:val="002541C8"/>
    <w:rsid w:val="00256CA2"/>
    <w:rsid w:val="00261BC8"/>
    <w:rsid w:val="002670F1"/>
    <w:rsid w:val="00273CD8"/>
    <w:rsid w:val="00277874"/>
    <w:rsid w:val="00284664"/>
    <w:rsid w:val="002873E5"/>
    <w:rsid w:val="0029291C"/>
    <w:rsid w:val="0029435C"/>
    <w:rsid w:val="00297933"/>
    <w:rsid w:val="00297F19"/>
    <w:rsid w:val="002A0FC4"/>
    <w:rsid w:val="002A17D6"/>
    <w:rsid w:val="002B0933"/>
    <w:rsid w:val="002B722D"/>
    <w:rsid w:val="002B740A"/>
    <w:rsid w:val="002B7451"/>
    <w:rsid w:val="002C20C3"/>
    <w:rsid w:val="002C476E"/>
    <w:rsid w:val="002E0A37"/>
    <w:rsid w:val="002E615D"/>
    <w:rsid w:val="002E6D46"/>
    <w:rsid w:val="002F279B"/>
    <w:rsid w:val="00300904"/>
    <w:rsid w:val="00313897"/>
    <w:rsid w:val="00332482"/>
    <w:rsid w:val="00336FD2"/>
    <w:rsid w:val="00345ACF"/>
    <w:rsid w:val="00346A88"/>
    <w:rsid w:val="00351465"/>
    <w:rsid w:val="0036724E"/>
    <w:rsid w:val="003679A3"/>
    <w:rsid w:val="003709F8"/>
    <w:rsid w:val="003779B1"/>
    <w:rsid w:val="00380455"/>
    <w:rsid w:val="003A292F"/>
    <w:rsid w:val="003A29F0"/>
    <w:rsid w:val="003B7E57"/>
    <w:rsid w:val="003C2E2E"/>
    <w:rsid w:val="003C3862"/>
    <w:rsid w:val="003D0737"/>
    <w:rsid w:val="003D19A4"/>
    <w:rsid w:val="003E3EF4"/>
    <w:rsid w:val="003E51B9"/>
    <w:rsid w:val="003F5C68"/>
    <w:rsid w:val="004026B8"/>
    <w:rsid w:val="004131C4"/>
    <w:rsid w:val="00414FBC"/>
    <w:rsid w:val="00416678"/>
    <w:rsid w:val="00420E30"/>
    <w:rsid w:val="00424DB5"/>
    <w:rsid w:val="00427660"/>
    <w:rsid w:val="004329EC"/>
    <w:rsid w:val="00435508"/>
    <w:rsid w:val="00437CD2"/>
    <w:rsid w:val="00440BA7"/>
    <w:rsid w:val="00445F5F"/>
    <w:rsid w:val="00451CBA"/>
    <w:rsid w:val="0045344E"/>
    <w:rsid w:val="00456AF3"/>
    <w:rsid w:val="00457939"/>
    <w:rsid w:val="00467FDA"/>
    <w:rsid w:val="00472A1D"/>
    <w:rsid w:val="00484038"/>
    <w:rsid w:val="00487331"/>
    <w:rsid w:val="0049249D"/>
    <w:rsid w:val="004A0B15"/>
    <w:rsid w:val="004A35B1"/>
    <w:rsid w:val="004A625A"/>
    <w:rsid w:val="004A6542"/>
    <w:rsid w:val="004A72C3"/>
    <w:rsid w:val="004B19A3"/>
    <w:rsid w:val="004C0527"/>
    <w:rsid w:val="004C4E6F"/>
    <w:rsid w:val="004C50E3"/>
    <w:rsid w:val="004C5F45"/>
    <w:rsid w:val="004C6FDE"/>
    <w:rsid w:val="004C7A7C"/>
    <w:rsid w:val="004E1916"/>
    <w:rsid w:val="004E74FA"/>
    <w:rsid w:val="004F129A"/>
    <w:rsid w:val="004F18AE"/>
    <w:rsid w:val="005001E9"/>
    <w:rsid w:val="0050105D"/>
    <w:rsid w:val="0050126E"/>
    <w:rsid w:val="00502874"/>
    <w:rsid w:val="005135A5"/>
    <w:rsid w:val="00521B9B"/>
    <w:rsid w:val="00532F9E"/>
    <w:rsid w:val="0053510B"/>
    <w:rsid w:val="00545919"/>
    <w:rsid w:val="0054675F"/>
    <w:rsid w:val="00547C44"/>
    <w:rsid w:val="00553BDC"/>
    <w:rsid w:val="00560D0B"/>
    <w:rsid w:val="0056529C"/>
    <w:rsid w:val="00565459"/>
    <w:rsid w:val="0057077D"/>
    <w:rsid w:val="00570B93"/>
    <w:rsid w:val="00571D06"/>
    <w:rsid w:val="00572717"/>
    <w:rsid w:val="00576423"/>
    <w:rsid w:val="005911F6"/>
    <w:rsid w:val="00591EBD"/>
    <w:rsid w:val="005A114A"/>
    <w:rsid w:val="005A2FAB"/>
    <w:rsid w:val="005B2591"/>
    <w:rsid w:val="005B517E"/>
    <w:rsid w:val="005B677D"/>
    <w:rsid w:val="005C585E"/>
    <w:rsid w:val="005C6336"/>
    <w:rsid w:val="005E1FFF"/>
    <w:rsid w:val="005F2715"/>
    <w:rsid w:val="005F332C"/>
    <w:rsid w:val="005F4682"/>
    <w:rsid w:val="005F7945"/>
    <w:rsid w:val="006001C8"/>
    <w:rsid w:val="0060038E"/>
    <w:rsid w:val="006006EE"/>
    <w:rsid w:val="006120B7"/>
    <w:rsid w:val="0061318A"/>
    <w:rsid w:val="00622A2D"/>
    <w:rsid w:val="00624600"/>
    <w:rsid w:val="00626DC5"/>
    <w:rsid w:val="006375C8"/>
    <w:rsid w:val="006429AA"/>
    <w:rsid w:val="006466EF"/>
    <w:rsid w:val="00652AEB"/>
    <w:rsid w:val="0065301A"/>
    <w:rsid w:val="00655772"/>
    <w:rsid w:val="00656316"/>
    <w:rsid w:val="00662D15"/>
    <w:rsid w:val="00672CA7"/>
    <w:rsid w:val="006738A0"/>
    <w:rsid w:val="00686EF6"/>
    <w:rsid w:val="00694542"/>
    <w:rsid w:val="006A0884"/>
    <w:rsid w:val="006A78E2"/>
    <w:rsid w:val="006B03C4"/>
    <w:rsid w:val="006B187E"/>
    <w:rsid w:val="006C1334"/>
    <w:rsid w:val="006C1DAE"/>
    <w:rsid w:val="006D109C"/>
    <w:rsid w:val="006E50C7"/>
    <w:rsid w:val="006F0024"/>
    <w:rsid w:val="006F2ECE"/>
    <w:rsid w:val="007023BB"/>
    <w:rsid w:val="007037C7"/>
    <w:rsid w:val="00712FE7"/>
    <w:rsid w:val="00720E84"/>
    <w:rsid w:val="0072313C"/>
    <w:rsid w:val="0072714A"/>
    <w:rsid w:val="00745B68"/>
    <w:rsid w:val="00746813"/>
    <w:rsid w:val="00746974"/>
    <w:rsid w:val="00746C83"/>
    <w:rsid w:val="00747D46"/>
    <w:rsid w:val="00750387"/>
    <w:rsid w:val="00761464"/>
    <w:rsid w:val="00775EB6"/>
    <w:rsid w:val="00776BAF"/>
    <w:rsid w:val="00790D00"/>
    <w:rsid w:val="00792D04"/>
    <w:rsid w:val="007940FA"/>
    <w:rsid w:val="007C4897"/>
    <w:rsid w:val="007D4729"/>
    <w:rsid w:val="007D483F"/>
    <w:rsid w:val="007E10ED"/>
    <w:rsid w:val="007E2B63"/>
    <w:rsid w:val="007F2B1C"/>
    <w:rsid w:val="007F5719"/>
    <w:rsid w:val="008018B5"/>
    <w:rsid w:val="00817DAC"/>
    <w:rsid w:val="00837CB2"/>
    <w:rsid w:val="00837EE4"/>
    <w:rsid w:val="008452A0"/>
    <w:rsid w:val="00846369"/>
    <w:rsid w:val="0085044F"/>
    <w:rsid w:val="008538D6"/>
    <w:rsid w:val="008613B8"/>
    <w:rsid w:val="008648D5"/>
    <w:rsid w:val="00866A3C"/>
    <w:rsid w:val="008676C0"/>
    <w:rsid w:val="0086779C"/>
    <w:rsid w:val="00867F9F"/>
    <w:rsid w:val="00876ED9"/>
    <w:rsid w:val="00891BE4"/>
    <w:rsid w:val="0089357B"/>
    <w:rsid w:val="008A5335"/>
    <w:rsid w:val="008B50B6"/>
    <w:rsid w:val="008C36CD"/>
    <w:rsid w:val="008D1BD5"/>
    <w:rsid w:val="008E3DDB"/>
    <w:rsid w:val="00905453"/>
    <w:rsid w:val="00907924"/>
    <w:rsid w:val="00914838"/>
    <w:rsid w:val="00916B75"/>
    <w:rsid w:val="00923F15"/>
    <w:rsid w:val="0093242E"/>
    <w:rsid w:val="00935B9B"/>
    <w:rsid w:val="009437B2"/>
    <w:rsid w:val="009459EB"/>
    <w:rsid w:val="0095249E"/>
    <w:rsid w:val="00957231"/>
    <w:rsid w:val="00964445"/>
    <w:rsid w:val="0096783D"/>
    <w:rsid w:val="009823E9"/>
    <w:rsid w:val="009832EB"/>
    <w:rsid w:val="00983F39"/>
    <w:rsid w:val="009871C6"/>
    <w:rsid w:val="009906FE"/>
    <w:rsid w:val="00990C27"/>
    <w:rsid w:val="00995BC8"/>
    <w:rsid w:val="009A0D56"/>
    <w:rsid w:val="009A52EC"/>
    <w:rsid w:val="009B5AEE"/>
    <w:rsid w:val="009B5C3B"/>
    <w:rsid w:val="009C0FCA"/>
    <w:rsid w:val="009C6A00"/>
    <w:rsid w:val="009C7D5F"/>
    <w:rsid w:val="009D067B"/>
    <w:rsid w:val="009D33D9"/>
    <w:rsid w:val="009D6048"/>
    <w:rsid w:val="009E022A"/>
    <w:rsid w:val="009E1720"/>
    <w:rsid w:val="009E6D3C"/>
    <w:rsid w:val="009F01C4"/>
    <w:rsid w:val="00A06DD6"/>
    <w:rsid w:val="00A12805"/>
    <w:rsid w:val="00A12D2C"/>
    <w:rsid w:val="00A26A62"/>
    <w:rsid w:val="00A528FE"/>
    <w:rsid w:val="00A5583F"/>
    <w:rsid w:val="00A64E84"/>
    <w:rsid w:val="00A701FB"/>
    <w:rsid w:val="00A70ED5"/>
    <w:rsid w:val="00A8058C"/>
    <w:rsid w:val="00A8282F"/>
    <w:rsid w:val="00A906B7"/>
    <w:rsid w:val="00AA0559"/>
    <w:rsid w:val="00AC374C"/>
    <w:rsid w:val="00AC73E9"/>
    <w:rsid w:val="00AE265B"/>
    <w:rsid w:val="00AF16FE"/>
    <w:rsid w:val="00AF1750"/>
    <w:rsid w:val="00AF3F36"/>
    <w:rsid w:val="00AF54C9"/>
    <w:rsid w:val="00B12733"/>
    <w:rsid w:val="00B22E10"/>
    <w:rsid w:val="00B238B3"/>
    <w:rsid w:val="00B527F6"/>
    <w:rsid w:val="00B55458"/>
    <w:rsid w:val="00B65A11"/>
    <w:rsid w:val="00B678E4"/>
    <w:rsid w:val="00B722A5"/>
    <w:rsid w:val="00B7302C"/>
    <w:rsid w:val="00B76D33"/>
    <w:rsid w:val="00B815B9"/>
    <w:rsid w:val="00B832C3"/>
    <w:rsid w:val="00BB5A3B"/>
    <w:rsid w:val="00BC4307"/>
    <w:rsid w:val="00BC51F1"/>
    <w:rsid w:val="00BD3B14"/>
    <w:rsid w:val="00BE1A0E"/>
    <w:rsid w:val="00BE24CD"/>
    <w:rsid w:val="00BE287E"/>
    <w:rsid w:val="00BE3E78"/>
    <w:rsid w:val="00BE7938"/>
    <w:rsid w:val="00BF6F42"/>
    <w:rsid w:val="00BF7350"/>
    <w:rsid w:val="00C01D46"/>
    <w:rsid w:val="00C12ACF"/>
    <w:rsid w:val="00C24804"/>
    <w:rsid w:val="00C260FA"/>
    <w:rsid w:val="00C40EA9"/>
    <w:rsid w:val="00C4314E"/>
    <w:rsid w:val="00C43590"/>
    <w:rsid w:val="00C55849"/>
    <w:rsid w:val="00C630FB"/>
    <w:rsid w:val="00C63190"/>
    <w:rsid w:val="00C6488A"/>
    <w:rsid w:val="00C718FB"/>
    <w:rsid w:val="00C76973"/>
    <w:rsid w:val="00C800B6"/>
    <w:rsid w:val="00C9337E"/>
    <w:rsid w:val="00CB3BD1"/>
    <w:rsid w:val="00CF4066"/>
    <w:rsid w:val="00CF46C1"/>
    <w:rsid w:val="00D017C1"/>
    <w:rsid w:val="00D02FBD"/>
    <w:rsid w:val="00D06717"/>
    <w:rsid w:val="00D07B75"/>
    <w:rsid w:val="00D224AF"/>
    <w:rsid w:val="00D338A7"/>
    <w:rsid w:val="00D443C9"/>
    <w:rsid w:val="00D4613F"/>
    <w:rsid w:val="00D52209"/>
    <w:rsid w:val="00D5511E"/>
    <w:rsid w:val="00D602BD"/>
    <w:rsid w:val="00D6501E"/>
    <w:rsid w:val="00D70ABC"/>
    <w:rsid w:val="00D82C8C"/>
    <w:rsid w:val="00D9581E"/>
    <w:rsid w:val="00DA3AF7"/>
    <w:rsid w:val="00DA4F80"/>
    <w:rsid w:val="00DA7891"/>
    <w:rsid w:val="00DB3454"/>
    <w:rsid w:val="00DB4600"/>
    <w:rsid w:val="00DB6A4A"/>
    <w:rsid w:val="00DC1F2B"/>
    <w:rsid w:val="00DC4B5C"/>
    <w:rsid w:val="00DC51FF"/>
    <w:rsid w:val="00DC731B"/>
    <w:rsid w:val="00DD3263"/>
    <w:rsid w:val="00DD744A"/>
    <w:rsid w:val="00DE02F8"/>
    <w:rsid w:val="00DF6FE2"/>
    <w:rsid w:val="00E06B57"/>
    <w:rsid w:val="00E21254"/>
    <w:rsid w:val="00E23E5A"/>
    <w:rsid w:val="00E26D72"/>
    <w:rsid w:val="00E30E47"/>
    <w:rsid w:val="00E34788"/>
    <w:rsid w:val="00E365EC"/>
    <w:rsid w:val="00E36A29"/>
    <w:rsid w:val="00E37F7D"/>
    <w:rsid w:val="00E47BCD"/>
    <w:rsid w:val="00E65686"/>
    <w:rsid w:val="00E7179B"/>
    <w:rsid w:val="00E74B27"/>
    <w:rsid w:val="00E76911"/>
    <w:rsid w:val="00E93297"/>
    <w:rsid w:val="00EA0BAA"/>
    <w:rsid w:val="00EA18A6"/>
    <w:rsid w:val="00EB4B36"/>
    <w:rsid w:val="00EC361E"/>
    <w:rsid w:val="00EC77A2"/>
    <w:rsid w:val="00ED06E7"/>
    <w:rsid w:val="00ED2115"/>
    <w:rsid w:val="00ED6686"/>
    <w:rsid w:val="00ED71F0"/>
    <w:rsid w:val="00ED7BBD"/>
    <w:rsid w:val="00EE0456"/>
    <w:rsid w:val="00EE69A4"/>
    <w:rsid w:val="00EF35AA"/>
    <w:rsid w:val="00F01279"/>
    <w:rsid w:val="00F012A1"/>
    <w:rsid w:val="00F1293C"/>
    <w:rsid w:val="00F21DE7"/>
    <w:rsid w:val="00F226F1"/>
    <w:rsid w:val="00F23A09"/>
    <w:rsid w:val="00F306AF"/>
    <w:rsid w:val="00F31B0D"/>
    <w:rsid w:val="00F37CF8"/>
    <w:rsid w:val="00F41DD3"/>
    <w:rsid w:val="00F502A4"/>
    <w:rsid w:val="00F531C2"/>
    <w:rsid w:val="00F62DB3"/>
    <w:rsid w:val="00F77891"/>
    <w:rsid w:val="00F85D7B"/>
    <w:rsid w:val="00F9062C"/>
    <w:rsid w:val="00FA039E"/>
    <w:rsid w:val="00FA1345"/>
    <w:rsid w:val="00FB18C1"/>
    <w:rsid w:val="00FB26AA"/>
    <w:rsid w:val="00FB2D03"/>
    <w:rsid w:val="00FB77BD"/>
    <w:rsid w:val="00FC4E09"/>
    <w:rsid w:val="00FC6D58"/>
    <w:rsid w:val="00FD3183"/>
    <w:rsid w:val="00FD42F0"/>
    <w:rsid w:val="00FD6A86"/>
    <w:rsid w:val="00FD7EE6"/>
    <w:rsid w:val="00FE16C1"/>
    <w:rsid w:val="00FE34D2"/>
    <w:rsid w:val="00FE367D"/>
    <w:rsid w:val="00FE6671"/>
    <w:rsid w:val="00FF12FC"/>
    <w:rsid w:val="00FF3B7D"/>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6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basedOn w:val="Normal"/>
    <w:link w:val="TextonotapieCar"/>
    <w:uiPriority w:val="99"/>
    <w:unhideWhenUsed/>
    <w:rsid w:val="00244E9C"/>
    <w:pPr>
      <w:spacing w:line="240" w:lineRule="auto"/>
      <w:jc w:val="left"/>
    </w:pPr>
    <w:rPr>
      <w:rFonts w:ascii="Arial" w:hAnsi="Arial" w:cs="Arial"/>
      <w:sz w:val="20"/>
      <w:szCs w:val="20"/>
      <w:lang w:val="es-MX"/>
    </w:rPr>
  </w:style>
  <w:style w:type="character" w:customStyle="1" w:styleId="TextonotapieCar">
    <w:name w:val="Texto nota pie Car"/>
    <w:basedOn w:val="Fuentedeprrafopredeter"/>
    <w:link w:val="Textonotapie"/>
    <w:uiPriority w:val="99"/>
    <w:rsid w:val="00244E9C"/>
    <w:rPr>
      <w:rFonts w:ascii="Arial" w:hAnsi="Arial" w:cs="Arial"/>
      <w:sz w:val="20"/>
      <w:szCs w:val="20"/>
      <w:lang w:eastAsia="es-ES"/>
    </w:rPr>
  </w:style>
  <w:style w:type="character" w:styleId="Refdenotaalpie">
    <w:name w:val="footnote reference"/>
    <w:basedOn w:val="Fuentedeprrafopredeter"/>
    <w:uiPriority w:val="99"/>
    <w:unhideWhenUsed/>
    <w:rsid w:val="00244E9C"/>
    <w:rPr>
      <w:vertAlign w:val="superscript"/>
    </w:rPr>
  </w:style>
  <w:style w:type="paragraph" w:customStyle="1" w:styleId="Texto0">
    <w:name w:val="Texto"/>
    <w:basedOn w:val="Normal"/>
    <w:link w:val="TextoCar"/>
    <w:rsid w:val="0061318A"/>
    <w:pPr>
      <w:spacing w:after="101" w:line="216" w:lineRule="exact"/>
      <w:ind w:firstLine="288"/>
    </w:pPr>
    <w:rPr>
      <w:rFonts w:ascii="Arial" w:hAnsi="Arial" w:cs="Arial"/>
      <w:sz w:val="18"/>
      <w:szCs w:val="20"/>
      <w:lang w:val="es-MX"/>
    </w:rPr>
  </w:style>
  <w:style w:type="paragraph" w:customStyle="1" w:styleId="ANOTACION">
    <w:name w:val="ANOTACION"/>
    <w:basedOn w:val="Normal"/>
    <w:link w:val="ANOTACIONCar"/>
    <w:rsid w:val="0061318A"/>
    <w:pPr>
      <w:spacing w:before="101" w:after="101" w:line="216" w:lineRule="atLeast"/>
      <w:jc w:val="center"/>
    </w:pPr>
    <w:rPr>
      <w:rFonts w:ascii="Times New Roman" w:hAnsi="Times New Roman"/>
      <w:b/>
      <w:sz w:val="18"/>
      <w:szCs w:val="20"/>
      <w:lang w:val="es-ES_tradnl"/>
    </w:rPr>
  </w:style>
  <w:style w:type="character" w:customStyle="1" w:styleId="TextoCar">
    <w:name w:val="Texto Car"/>
    <w:link w:val="Texto0"/>
    <w:locked/>
    <w:rsid w:val="0061318A"/>
    <w:rPr>
      <w:rFonts w:ascii="Arial" w:hAnsi="Arial" w:cs="Arial"/>
      <w:sz w:val="18"/>
      <w:szCs w:val="20"/>
      <w:lang w:eastAsia="es-ES"/>
    </w:rPr>
  </w:style>
  <w:style w:type="character" w:customStyle="1" w:styleId="ANOTACIONCar">
    <w:name w:val="ANOTACION Car"/>
    <w:link w:val="ANOTACION"/>
    <w:locked/>
    <w:rsid w:val="0061318A"/>
    <w:rPr>
      <w:rFonts w:ascii="Times New Roman" w:hAnsi="Times New Roman" w:cs="Times New Roman"/>
      <w:b/>
      <w:sz w:val="18"/>
      <w:szCs w:val="20"/>
      <w:lang w:val="es-ES_tradnl" w:eastAsia="es-ES"/>
    </w:rPr>
  </w:style>
  <w:style w:type="paragraph" w:customStyle="1" w:styleId="normal0">
    <w:name w:val="normal"/>
    <w:rsid w:val="003679A3"/>
    <w:rPr>
      <w:rFonts w:ascii="Calibri" w:eastAsia="Calibri" w:hAnsi="Calibri" w:cs="Calibri"/>
      <w:color w:val="000000"/>
      <w:lang w:eastAsia="es-MX"/>
    </w:rPr>
  </w:style>
</w:styles>
</file>

<file path=word/webSettings.xml><?xml version="1.0" encoding="utf-8"?>
<w:webSettings xmlns:r="http://schemas.openxmlformats.org/officeDocument/2006/relationships" xmlns:w="http://schemas.openxmlformats.org/wordprocessingml/2006/main">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 w:id="1362828755">
      <w:bodyDiv w:val="1"/>
      <w:marLeft w:val="0"/>
      <w:marRight w:val="0"/>
      <w:marTop w:val="0"/>
      <w:marBottom w:val="0"/>
      <w:divBdr>
        <w:top w:val="none" w:sz="0" w:space="0" w:color="auto"/>
        <w:left w:val="none" w:sz="0" w:space="0" w:color="auto"/>
        <w:bottom w:val="none" w:sz="0" w:space="0" w:color="auto"/>
        <w:right w:val="none" w:sz="0" w:space="0" w:color="auto"/>
      </w:divBdr>
      <w:divsChild>
        <w:div w:id="1162430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yperlink" Target="javascript:AbrirModal(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jf.scjn.gob.mx/sjfsist/Paginas/DetalleGeneralV2.aspx?id=160589&amp;Clase=DetalleTesisB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javascript:AbrirModal(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3)" TargetMode="External"/><Relationship Id="rId5" Type="http://schemas.openxmlformats.org/officeDocument/2006/relationships/webSettings" Target="webSettings.xml"/><Relationship Id="rId15" Type="http://schemas.openxmlformats.org/officeDocument/2006/relationships/hyperlink" Target="javascript:AbrirModal(1)" TargetMode="External"/><Relationship Id="rId10" Type="http://schemas.openxmlformats.org/officeDocument/2006/relationships/hyperlink" Target="javascript:AbrirModal(2)"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javascript:AbrirModal(5)" TargetMode="External"/><Relationship Id="rId14" Type="http://schemas.openxmlformats.org/officeDocument/2006/relationships/hyperlink" Target="http://200.38.163.178/sjfsist/(F(5dNDcC0oMytMU-sSj29gyrcjWbWMcqc1Z_gSWfoYqUWrTHZoaSYLl8_tC5MvotqOSc9ziDl6ur5ia3UFsMdIi3h8dq9j221F4_TC-cDnwLdYgJGcU6suX8lweL7BTFci6rg89tZmXfh_jUNa9haiOuio5ms98-ASi-RAU2E3TA81))/Paginas/DetalleGeneralV2.aspx?id=169574&amp;Clase=DetalleTesisB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9FA1A1-2B6E-41E7-B032-F611D3129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22</Pages>
  <Words>8490</Words>
  <Characters>46696</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Servicio social</cp:lastModifiedBy>
  <cp:revision>4</cp:revision>
  <cp:lastPrinted>2018-03-05T20:47:00Z</cp:lastPrinted>
  <dcterms:created xsi:type="dcterms:W3CDTF">2018-03-05T17:26:00Z</dcterms:created>
  <dcterms:modified xsi:type="dcterms:W3CDTF">2018-03-05T20:48:00Z</dcterms:modified>
</cp:coreProperties>
</file>